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pPr w:leftFromText="180" w:rightFromText="180" w:vertAnchor="page" w:horzAnchor="page" w:tblpX="1400" w:tblpY="2155"/>
        <w:tblW w:w="9295" w:type="dxa"/>
        <w:tblInd w:w="0" w:type="dxa"/>
        <w:tblLayout w:type="fixed"/>
        <w:tblCellMar>
          <w:top w:w="0" w:type="dxa"/>
          <w:left w:w="108" w:type="dxa"/>
          <w:bottom w:w="0" w:type="dxa"/>
          <w:right w:w="108" w:type="dxa"/>
        </w:tblCellMar>
      </w:tblPr>
      <w:tblGrid>
        <w:gridCol w:w="9295"/>
      </w:tblGrid>
      <w:tr>
        <w:tblPrEx>
          <w:tblLayout w:type="fixed"/>
          <w:tblCellMar>
            <w:top w:w="0" w:type="dxa"/>
            <w:left w:w="108" w:type="dxa"/>
            <w:bottom w:w="0" w:type="dxa"/>
            <w:right w:w="108" w:type="dxa"/>
          </w:tblCellMar>
        </w:tblPrEx>
        <w:trPr>
          <w:trHeight w:val="6288" w:hRule="atLeast"/>
        </w:trPr>
        <w:tc>
          <w:tcPr>
            <w:tcW w:w="9295" w:type="dxa"/>
            <w:vAlign w:val="center"/>
          </w:tcPr>
          <w:p>
            <w:pPr>
              <w:pStyle w:val="7"/>
              <w:ind w:left="-15" w:leftChars="-40" w:hanging="69" w:hangingChars="23"/>
              <w:jc w:val="center"/>
              <w:rPr>
                <w:b/>
                <w:bCs/>
                <w:snapToGrid w:val="0"/>
                <w:sz w:val="48"/>
              </w:rPr>
            </w:pPr>
            <w:r>
              <w:rPr>
                <w:rFonts w:ascii="黑体" w:hAnsi="黑体" w:eastAsia="黑体"/>
                <w:b/>
                <w:spacing w:val="6"/>
                <w:sz w:val="30"/>
                <w:szCs w:val="30"/>
              </w:rPr>
              <w:pict>
                <v:shape id="_x0000_s3633" o:spid="_x0000_s3633" o:spt="202" type="#_x0000_t202" style="position:absolute;left:0pt;margin-left:110.75pt;margin-top:97.5pt;height:24.15pt;width:291.95pt;z-index:251635712;mso-width-relative:margin;mso-height-relative:margin;" filled="f" coordsize="21600,21600">
                  <v:path/>
                  <v:fill on="f" focussize="0,0"/>
                  <v:stroke joinstyle="miter"/>
                  <v:imagedata o:title=""/>
                  <o:lock v:ext="edit"/>
                  <v:textbox>
                    <w:txbxContent>
                      <w:p>
                        <w:pPr>
                          <w:jc w:val="center"/>
                        </w:pPr>
                        <w:r>
                          <w:rPr>
                            <w:rFonts w:hint="eastAsia"/>
                            <w:sz w:val="24"/>
                          </w:rPr>
                          <w:t>仅用于舍弗勒（湘潭）有限公司汽车零部件建设项目</w:t>
                        </w:r>
                      </w:p>
                    </w:txbxContent>
                  </v:textbox>
                </v:shape>
              </w:pict>
            </w:r>
          </w:p>
        </w:tc>
      </w:tr>
    </w:tbl>
    <w:p>
      <w:pPr>
        <w:tabs>
          <w:tab w:val="left" w:pos="495"/>
          <w:tab w:val="left" w:pos="1021"/>
          <w:tab w:val="center" w:pos="4592"/>
        </w:tabs>
        <w:spacing w:beforeLines="100" w:line="326" w:lineRule="auto"/>
        <w:jc w:val="left"/>
        <w:rPr>
          <w:rFonts w:eastAsia="黑体"/>
          <w:sz w:val="32"/>
          <w:szCs w:val="32"/>
        </w:rPr>
      </w:pPr>
      <w:r>
        <w:rPr>
          <w:rFonts w:hint="eastAsia" w:eastAsia="黑体"/>
          <w:sz w:val="32"/>
          <w:szCs w:val="32"/>
        </w:rPr>
        <w:tab/>
      </w:r>
      <w:r>
        <w:rPr>
          <w:rFonts w:eastAsia="黑体"/>
          <w:sz w:val="32"/>
          <w:szCs w:val="32"/>
        </w:rPr>
        <w:tab/>
      </w:r>
      <w:r>
        <w:rPr>
          <w:rFonts w:eastAsia="黑体"/>
          <w:sz w:val="32"/>
          <w:szCs w:val="32"/>
        </w:rPr>
        <w:tab/>
      </w:r>
      <w:r>
        <w:rPr>
          <w:rFonts w:hint="eastAsia" w:eastAsia="黑体"/>
          <w:sz w:val="32"/>
          <w:szCs w:val="32"/>
        </w:rPr>
        <w:tab/>
      </w:r>
      <w:r>
        <w:rPr>
          <w:rFonts w:hint="eastAsia" w:eastAsia="黑体"/>
          <w:sz w:val="32"/>
          <w:szCs w:val="32"/>
        </w:rPr>
        <w:tab/>
      </w:r>
    </w:p>
    <w:p>
      <w:pPr>
        <w:tabs>
          <w:tab w:val="left" w:pos="1021"/>
        </w:tabs>
        <w:adjustRightInd w:val="0"/>
        <w:snapToGrid w:val="0"/>
        <w:spacing w:line="480" w:lineRule="auto"/>
        <w:jc w:val="left"/>
        <w:rPr>
          <w:rFonts w:ascii="仿宋_GB2312" w:hAnsi="宋体" w:eastAsia="仿宋_GB2312"/>
          <w:sz w:val="28"/>
          <w:u w:val="single"/>
        </w:rPr>
      </w:pPr>
      <w:r>
        <w:rPr>
          <w:rFonts w:hint="eastAsia" w:ascii="黑体" w:eastAsia="黑体"/>
          <w:sz w:val="28"/>
        </w:rPr>
        <w:t>项目名称：</w:t>
      </w:r>
      <w:r>
        <w:rPr>
          <w:rFonts w:hint="eastAsia" w:ascii="仿宋_GB2312" w:hAnsi="宋体" w:eastAsia="仿宋_GB2312"/>
          <w:sz w:val="28"/>
          <w:u w:val="single"/>
        </w:rPr>
        <w:t xml:space="preserve">     舍弗勒（湘潭）有限公司汽车零部件建设项目        </w:t>
      </w:r>
    </w:p>
    <w:p>
      <w:pPr>
        <w:tabs>
          <w:tab w:val="left" w:pos="1021"/>
        </w:tabs>
        <w:adjustRightInd w:val="0"/>
        <w:snapToGrid w:val="0"/>
        <w:spacing w:line="480" w:lineRule="auto"/>
        <w:jc w:val="left"/>
        <w:rPr>
          <w:rFonts w:ascii="黑体" w:eastAsia="黑体"/>
          <w:sz w:val="28"/>
        </w:rPr>
      </w:pPr>
      <w:r>
        <w:rPr>
          <w:rFonts w:hint="eastAsia" w:ascii="黑体" w:eastAsia="黑体"/>
          <w:sz w:val="28"/>
        </w:rPr>
        <w:t>文件类型：</w:t>
      </w:r>
      <w:r>
        <w:rPr>
          <w:rFonts w:hint="eastAsia" w:ascii="仿宋_GB2312" w:hAnsi="宋体" w:eastAsia="仿宋_GB2312"/>
          <w:sz w:val="28"/>
          <w:u w:val="single"/>
        </w:rPr>
        <w:t xml:space="preserve">                    环境影响报告表                  </w:t>
      </w:r>
    </w:p>
    <w:p>
      <w:pPr>
        <w:tabs>
          <w:tab w:val="left" w:pos="1021"/>
        </w:tabs>
        <w:adjustRightInd w:val="0"/>
        <w:snapToGrid w:val="0"/>
        <w:spacing w:line="480" w:lineRule="auto"/>
        <w:jc w:val="left"/>
        <w:rPr>
          <w:rFonts w:ascii="黑体" w:eastAsia="黑体"/>
          <w:sz w:val="28"/>
        </w:rPr>
      </w:pPr>
      <w:r>
        <w:rPr>
          <w:rFonts w:hint="eastAsia" w:ascii="黑体" w:eastAsia="黑体"/>
          <w:sz w:val="28"/>
        </w:rPr>
        <w:t>适用的评价范围：</w:t>
      </w:r>
      <w:r>
        <w:rPr>
          <w:rFonts w:hint="eastAsia" w:ascii="仿宋_GB2312" w:hAnsi="宋体" w:eastAsia="仿宋_GB2312"/>
          <w:sz w:val="28"/>
          <w:u w:val="single"/>
        </w:rPr>
        <w:t xml:space="preserve">                一般报告表                     </w:t>
      </w:r>
    </w:p>
    <w:p>
      <w:pPr>
        <w:tabs>
          <w:tab w:val="left" w:pos="1021"/>
        </w:tabs>
        <w:adjustRightInd w:val="0"/>
        <w:snapToGrid w:val="0"/>
        <w:spacing w:line="480" w:lineRule="auto"/>
        <w:jc w:val="left"/>
        <w:rPr>
          <w:rFonts w:ascii="仿宋_GB2312" w:hAnsi="宋体" w:eastAsia="仿宋_GB2312"/>
          <w:sz w:val="28"/>
          <w:u w:val="single"/>
        </w:rPr>
      </w:pPr>
      <w:r>
        <w:rPr>
          <w:rFonts w:hint="eastAsia" w:ascii="黑体" w:eastAsia="黑体"/>
          <w:sz w:val="28"/>
        </w:rPr>
        <w:t>法定代表人：</w:t>
      </w:r>
      <w:r>
        <w:rPr>
          <w:rFonts w:hint="eastAsia" w:ascii="仿宋_GB2312" w:hAnsi="宋体" w:eastAsia="仿宋_GB2312"/>
          <w:sz w:val="28"/>
          <w:u w:val="single"/>
        </w:rPr>
        <w:t xml:space="preserve">                 甘来          （签章）           </w:t>
      </w:r>
    </w:p>
    <w:p>
      <w:pPr>
        <w:tabs>
          <w:tab w:val="left" w:pos="1021"/>
        </w:tabs>
        <w:adjustRightInd w:val="0"/>
        <w:snapToGrid w:val="0"/>
        <w:spacing w:line="480" w:lineRule="auto"/>
        <w:rPr>
          <w:rFonts w:ascii="仿宋_GB2312" w:hAnsi="宋体" w:eastAsia="仿宋_GB2312"/>
          <w:sz w:val="28"/>
          <w:u w:val="single"/>
        </w:rPr>
      </w:pPr>
      <w:r>
        <w:rPr>
          <w:rFonts w:hint="eastAsia" w:ascii="黑体" w:eastAsia="黑体"/>
          <w:sz w:val="28"/>
        </w:rPr>
        <w:t>主持编制机构：</w:t>
      </w:r>
      <w:r>
        <w:rPr>
          <w:rFonts w:hint="eastAsia" w:ascii="仿宋_GB2312" w:hAnsi="宋体" w:eastAsia="仿宋_GB2312"/>
          <w:sz w:val="28"/>
          <w:u w:val="single"/>
        </w:rPr>
        <w:t xml:space="preserve">      湖南天瑶环境技术有限公司     （签章）     </w:t>
      </w:r>
    </w:p>
    <w:p>
      <w:pPr>
        <w:tabs>
          <w:tab w:val="left" w:pos="1021"/>
        </w:tabs>
      </w:pPr>
    </w:p>
    <w:p>
      <w:pPr>
        <w:tabs>
          <w:tab w:val="left" w:pos="1021"/>
        </w:tabs>
        <w:sectPr>
          <w:footerReference r:id="rId3" w:type="default"/>
          <w:footerReference r:id="rId4" w:type="even"/>
          <w:pgSz w:w="11907" w:h="16840"/>
          <w:pgMar w:top="1985" w:right="1588" w:bottom="1701" w:left="1588" w:header="454" w:footer="851" w:gutter="0"/>
          <w:pgNumType w:start="1"/>
          <w:cols w:space="720" w:num="1"/>
          <w:docGrid w:linePitch="380" w:charSpace="0"/>
        </w:sectPr>
      </w:pPr>
    </w:p>
    <w:p>
      <w:pPr>
        <w:tabs>
          <w:tab w:val="left" w:pos="1021"/>
        </w:tabs>
        <w:adjustRightInd w:val="0"/>
        <w:snapToGrid w:val="0"/>
        <w:spacing w:beforeLines="100" w:line="480" w:lineRule="auto"/>
        <w:jc w:val="center"/>
        <w:rPr>
          <w:rFonts w:ascii="仿宋_GB2312" w:hAnsi="宋体" w:eastAsia="仿宋_GB2312"/>
          <w:b/>
          <w:sz w:val="28"/>
        </w:rPr>
      </w:pPr>
      <w:r>
        <w:rPr>
          <w:rFonts w:hint="eastAsia" w:ascii="仿宋_GB2312" w:hAnsi="宋体" w:eastAsia="仿宋_GB2312"/>
          <w:b/>
          <w:sz w:val="28"/>
        </w:rPr>
        <w:t>舍弗勒（湘潭）有限公司汽车零部件建设项目</w:t>
      </w:r>
    </w:p>
    <w:p>
      <w:pPr>
        <w:tabs>
          <w:tab w:val="left" w:pos="1021"/>
        </w:tabs>
        <w:adjustRightInd w:val="0"/>
        <w:snapToGrid w:val="0"/>
        <w:spacing w:beforeLines="100" w:line="480" w:lineRule="auto"/>
        <w:jc w:val="center"/>
        <w:rPr>
          <w:rFonts w:ascii="仿宋_GB2312" w:hAnsi="宋体" w:eastAsia="仿宋_GB2312"/>
          <w:b/>
          <w:sz w:val="28"/>
        </w:rPr>
      </w:pPr>
      <w:r>
        <w:rPr>
          <w:rFonts w:hint="eastAsia" w:ascii="仿宋_GB2312" w:hAnsi="宋体" w:eastAsia="仿宋_GB2312"/>
          <w:b/>
          <w:sz w:val="28"/>
        </w:rPr>
        <w:t>环境影响报告表编制人员名单表</w:t>
      </w:r>
    </w:p>
    <w:tbl>
      <w:tblPr>
        <w:tblStyle w:val="29"/>
        <w:tblW w:w="9155"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9"/>
        <w:gridCol w:w="550"/>
        <w:gridCol w:w="890"/>
        <w:gridCol w:w="1681"/>
        <w:gridCol w:w="1721"/>
        <w:gridCol w:w="2126"/>
        <w:gridCol w:w="1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49" w:type="dxa"/>
            <w:gridSpan w:val="2"/>
            <w:vMerge w:val="restart"/>
            <w:vAlign w:val="center"/>
          </w:tcPr>
          <w:p>
            <w:pPr>
              <w:tabs>
                <w:tab w:val="left" w:pos="1021"/>
              </w:tabs>
              <w:adjustRightInd w:val="0"/>
              <w:snapToGrid w:val="0"/>
              <w:spacing w:line="320" w:lineRule="exact"/>
              <w:jc w:val="center"/>
              <w:rPr>
                <w:rFonts w:eastAsia="黑体"/>
              </w:rPr>
            </w:pPr>
            <w:r>
              <w:rPr>
                <w:rFonts w:eastAsia="黑体"/>
              </w:rPr>
              <w:t>编制</w:t>
            </w:r>
          </w:p>
          <w:p>
            <w:pPr>
              <w:tabs>
                <w:tab w:val="left" w:pos="1021"/>
              </w:tabs>
              <w:adjustRightInd w:val="0"/>
              <w:snapToGrid w:val="0"/>
              <w:spacing w:line="320" w:lineRule="exact"/>
              <w:jc w:val="center"/>
              <w:rPr>
                <w:rFonts w:eastAsia="黑体"/>
              </w:rPr>
            </w:pPr>
            <w:r>
              <w:rPr>
                <w:rFonts w:eastAsia="黑体"/>
              </w:rPr>
              <w:t>主持人</w:t>
            </w:r>
          </w:p>
        </w:tc>
        <w:tc>
          <w:tcPr>
            <w:tcW w:w="890" w:type="dxa"/>
            <w:vAlign w:val="center"/>
          </w:tcPr>
          <w:p>
            <w:pPr>
              <w:tabs>
                <w:tab w:val="left" w:pos="1021"/>
              </w:tabs>
              <w:adjustRightInd w:val="0"/>
              <w:snapToGrid w:val="0"/>
              <w:spacing w:line="320" w:lineRule="exact"/>
              <w:jc w:val="center"/>
            </w:pPr>
            <w:r>
              <w:rPr>
                <w:rFonts w:hAnsi="宋体"/>
              </w:rPr>
              <w:t>姓名</w:t>
            </w:r>
          </w:p>
        </w:tc>
        <w:tc>
          <w:tcPr>
            <w:tcW w:w="1681" w:type="dxa"/>
            <w:vAlign w:val="center"/>
          </w:tcPr>
          <w:p>
            <w:pPr>
              <w:tabs>
                <w:tab w:val="left" w:pos="1021"/>
              </w:tabs>
              <w:adjustRightInd w:val="0"/>
              <w:snapToGrid w:val="0"/>
              <w:spacing w:line="320" w:lineRule="exact"/>
              <w:jc w:val="center"/>
            </w:pPr>
            <w:r>
              <w:rPr>
                <w:rFonts w:hAnsi="宋体"/>
              </w:rPr>
              <w:t>职（执）业资格证书编号</w:t>
            </w:r>
          </w:p>
        </w:tc>
        <w:tc>
          <w:tcPr>
            <w:tcW w:w="1721" w:type="dxa"/>
            <w:vAlign w:val="center"/>
          </w:tcPr>
          <w:p>
            <w:pPr>
              <w:tabs>
                <w:tab w:val="left" w:pos="1021"/>
              </w:tabs>
              <w:adjustRightInd w:val="0"/>
              <w:snapToGrid w:val="0"/>
              <w:spacing w:line="320" w:lineRule="exact"/>
              <w:jc w:val="center"/>
            </w:pPr>
            <w:r>
              <w:rPr>
                <w:rFonts w:hAnsi="宋体"/>
              </w:rPr>
              <w:t>登记（注册证）编号</w:t>
            </w:r>
          </w:p>
        </w:tc>
        <w:tc>
          <w:tcPr>
            <w:tcW w:w="2126" w:type="dxa"/>
            <w:vAlign w:val="center"/>
          </w:tcPr>
          <w:p>
            <w:pPr>
              <w:tabs>
                <w:tab w:val="left" w:pos="1021"/>
              </w:tabs>
              <w:adjustRightInd w:val="0"/>
              <w:snapToGrid w:val="0"/>
              <w:spacing w:line="320" w:lineRule="exact"/>
              <w:jc w:val="center"/>
            </w:pPr>
            <w:r>
              <w:rPr>
                <w:rFonts w:hAnsi="宋体"/>
              </w:rPr>
              <w:t>专业类别</w:t>
            </w:r>
          </w:p>
        </w:tc>
        <w:tc>
          <w:tcPr>
            <w:tcW w:w="1588" w:type="dxa"/>
            <w:vAlign w:val="center"/>
          </w:tcPr>
          <w:p>
            <w:pPr>
              <w:tabs>
                <w:tab w:val="left" w:pos="1021"/>
              </w:tabs>
              <w:adjustRightInd w:val="0"/>
              <w:snapToGrid w:val="0"/>
              <w:spacing w:line="320" w:lineRule="exact"/>
              <w:jc w:val="center"/>
            </w:pPr>
            <w:r>
              <w:rPr>
                <w:rFonts w:hAnsi="宋体"/>
              </w:rPr>
              <w:t>本人签名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1149" w:type="dxa"/>
            <w:gridSpan w:val="2"/>
            <w:vMerge w:val="continue"/>
            <w:vAlign w:val="center"/>
          </w:tcPr>
          <w:p>
            <w:pPr>
              <w:tabs>
                <w:tab w:val="left" w:pos="1021"/>
              </w:tabs>
              <w:adjustRightInd w:val="0"/>
              <w:snapToGrid w:val="0"/>
              <w:spacing w:line="320" w:lineRule="exact"/>
              <w:jc w:val="center"/>
              <w:rPr>
                <w:rFonts w:eastAsia="黑体"/>
              </w:rPr>
            </w:pPr>
          </w:p>
        </w:tc>
        <w:tc>
          <w:tcPr>
            <w:tcW w:w="890" w:type="dxa"/>
            <w:vAlign w:val="center"/>
          </w:tcPr>
          <w:p>
            <w:pPr>
              <w:tabs>
                <w:tab w:val="left" w:pos="1021"/>
              </w:tabs>
              <w:adjustRightInd w:val="0"/>
              <w:snapToGrid w:val="0"/>
              <w:spacing w:line="360" w:lineRule="auto"/>
              <w:jc w:val="center"/>
              <w:rPr>
                <w:rFonts w:eastAsia="仿宋"/>
                <w:spacing w:val="-10"/>
                <w:szCs w:val="21"/>
              </w:rPr>
            </w:pPr>
            <w:r>
              <w:rPr>
                <w:rFonts w:eastAsia="仿宋"/>
                <w:spacing w:val="-10"/>
                <w:szCs w:val="21"/>
              </w:rPr>
              <w:t>周韬</w:t>
            </w:r>
          </w:p>
        </w:tc>
        <w:tc>
          <w:tcPr>
            <w:tcW w:w="1681" w:type="dxa"/>
            <w:vAlign w:val="center"/>
          </w:tcPr>
          <w:p>
            <w:pPr>
              <w:tabs>
                <w:tab w:val="left" w:pos="1021"/>
              </w:tabs>
              <w:adjustRightInd w:val="0"/>
              <w:snapToGrid w:val="0"/>
              <w:spacing w:line="360" w:lineRule="auto"/>
              <w:jc w:val="center"/>
            </w:pPr>
            <w:r>
              <w:rPr>
                <w:rFonts w:hint="eastAsia" w:eastAsia="仿宋"/>
                <w:spacing w:val="-10"/>
                <w:szCs w:val="21"/>
              </w:rPr>
              <w:t>0</w:t>
            </w:r>
            <w:r>
              <w:rPr>
                <w:rFonts w:eastAsia="仿宋"/>
                <w:spacing w:val="-10"/>
                <w:szCs w:val="21"/>
              </w:rPr>
              <w:t>0013574</w:t>
            </w:r>
          </w:p>
        </w:tc>
        <w:tc>
          <w:tcPr>
            <w:tcW w:w="1721" w:type="dxa"/>
            <w:vAlign w:val="center"/>
          </w:tcPr>
          <w:p>
            <w:pPr>
              <w:tabs>
                <w:tab w:val="left" w:pos="1021"/>
              </w:tabs>
              <w:adjustRightInd w:val="0"/>
              <w:snapToGrid w:val="0"/>
              <w:spacing w:line="360" w:lineRule="auto"/>
              <w:jc w:val="center"/>
            </w:pPr>
            <w:r>
              <w:rPr>
                <w:rFonts w:eastAsia="仿宋"/>
                <w:spacing w:val="-10"/>
                <w:szCs w:val="21"/>
              </w:rPr>
              <w:t>B2708</w:t>
            </w:r>
            <w:r>
              <w:rPr>
                <w:rFonts w:hint="eastAsia" w:eastAsia="仿宋"/>
                <w:spacing w:val="-10"/>
                <w:szCs w:val="21"/>
              </w:rPr>
              <w:t>04803</w:t>
            </w:r>
          </w:p>
        </w:tc>
        <w:tc>
          <w:tcPr>
            <w:tcW w:w="2126" w:type="dxa"/>
            <w:vAlign w:val="center"/>
          </w:tcPr>
          <w:p>
            <w:pPr>
              <w:tabs>
                <w:tab w:val="left" w:pos="1021"/>
              </w:tabs>
              <w:adjustRightInd w:val="0"/>
              <w:snapToGrid w:val="0"/>
              <w:spacing w:line="320" w:lineRule="exact"/>
              <w:jc w:val="center"/>
              <w:rPr>
                <w:rFonts w:eastAsia="黑体"/>
              </w:rPr>
            </w:pPr>
            <w:r>
              <w:rPr>
                <w:rFonts w:hint="eastAsia" w:eastAsia="黑体"/>
              </w:rPr>
              <w:t>冶金机电</w:t>
            </w:r>
          </w:p>
        </w:tc>
        <w:tc>
          <w:tcPr>
            <w:tcW w:w="1588" w:type="dxa"/>
            <w:vAlign w:val="center"/>
          </w:tcPr>
          <w:p>
            <w:pPr>
              <w:tabs>
                <w:tab w:val="left" w:pos="1021"/>
              </w:tabs>
              <w:adjustRightInd w:val="0"/>
              <w:snapToGrid w:val="0"/>
              <w:spacing w:line="320" w:lineRule="exact"/>
              <w:jc w:val="center"/>
              <w:rPr>
                <w:rFonts w:eastAsia="黑体"/>
              </w:rPr>
            </w:pPr>
            <w:r>
              <w:drawing>
                <wp:anchor distT="0" distB="0" distL="114300" distR="114300" simplePos="0" relativeHeight="251638784" behindDoc="0" locked="0" layoutInCell="1" allowOverlap="1">
                  <wp:simplePos x="0" y="0"/>
                  <wp:positionH relativeFrom="column">
                    <wp:posOffset>32385</wp:posOffset>
                  </wp:positionH>
                  <wp:positionV relativeFrom="paragraph">
                    <wp:posOffset>1762760</wp:posOffset>
                  </wp:positionV>
                  <wp:extent cx="880745" cy="457200"/>
                  <wp:effectExtent l="19050" t="0" r="0" b="0"/>
                  <wp:wrapNone/>
                  <wp:docPr id="1591" name="图片 23"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图片 23" descr="未标题-1 拷贝"/>
                          <pic:cNvPicPr>
                            <a:picLocks noChangeAspect="1" noChangeArrowheads="1"/>
                          </pic:cNvPicPr>
                        </pic:nvPicPr>
                        <pic:blipFill>
                          <a:blip r:embed="rId15"/>
                          <a:srcRect l="36021" t="16579" r="51627" b="75079"/>
                          <a:stretch>
                            <a:fillRect/>
                          </a:stretch>
                        </pic:blipFill>
                        <pic:spPr>
                          <a:xfrm>
                            <a:off x="0" y="0"/>
                            <a:ext cx="880745" cy="457200"/>
                          </a:xfrm>
                          <a:prstGeom prst="rect">
                            <a:avLst/>
                          </a:prstGeom>
                          <a:noFill/>
                          <a:ln w="9525">
                            <a:noFill/>
                            <a:miter lim="800000"/>
                            <a:headEnd/>
                            <a:tailEnd/>
                          </a:ln>
                        </pic:spPr>
                      </pic:pic>
                    </a:graphicData>
                  </a:graphic>
                </wp:anchor>
              </w:drawing>
            </w:r>
            <w:r>
              <w:drawing>
                <wp:anchor distT="0" distB="0" distL="114300" distR="114300" simplePos="0" relativeHeight="251636736" behindDoc="0" locked="0" layoutInCell="1" allowOverlap="1">
                  <wp:simplePos x="0" y="0"/>
                  <wp:positionH relativeFrom="column">
                    <wp:posOffset>33020</wp:posOffset>
                  </wp:positionH>
                  <wp:positionV relativeFrom="paragraph">
                    <wp:posOffset>149860</wp:posOffset>
                  </wp:positionV>
                  <wp:extent cx="880745" cy="457200"/>
                  <wp:effectExtent l="19050" t="0" r="0" b="0"/>
                  <wp:wrapNone/>
                  <wp:docPr id="1586" name="图片 23"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 name="图片 23" descr="未标题-1 拷贝"/>
                          <pic:cNvPicPr>
                            <a:picLocks noChangeAspect="1" noChangeArrowheads="1"/>
                          </pic:cNvPicPr>
                        </pic:nvPicPr>
                        <pic:blipFill>
                          <a:blip r:embed="rId15"/>
                          <a:srcRect l="36021" t="16579" r="51627" b="75079"/>
                          <a:stretch>
                            <a:fillRect/>
                          </a:stretch>
                        </pic:blipFill>
                        <pic:spPr>
                          <a:xfrm>
                            <a:off x="0" y="0"/>
                            <a:ext cx="880745" cy="457200"/>
                          </a:xfrm>
                          <a:prstGeom prst="rect">
                            <a:avLst/>
                          </a:prstGeom>
                          <a:noFill/>
                          <a:ln w="9525">
                            <a:noFill/>
                            <a:miter lim="800000"/>
                            <a:headEnd/>
                            <a:tailEnd/>
                          </a:ln>
                        </pic:spPr>
                      </pic:pic>
                    </a:graphicData>
                  </a:graphic>
                </wp:anchor>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599" w:type="dxa"/>
            <w:vMerge w:val="restart"/>
            <w:vAlign w:val="center"/>
          </w:tcPr>
          <w:p>
            <w:pPr>
              <w:tabs>
                <w:tab w:val="left" w:pos="1021"/>
              </w:tabs>
              <w:adjustRightInd w:val="0"/>
              <w:snapToGrid w:val="0"/>
              <w:spacing w:line="320" w:lineRule="exact"/>
              <w:jc w:val="center"/>
              <w:rPr>
                <w:rFonts w:eastAsia="黑体"/>
              </w:rPr>
            </w:pPr>
            <w:r>
              <w:rPr>
                <w:rFonts w:eastAsia="黑体"/>
              </w:rPr>
              <w:t>主要编制人员情况</w:t>
            </w:r>
          </w:p>
        </w:tc>
        <w:tc>
          <w:tcPr>
            <w:tcW w:w="550" w:type="dxa"/>
            <w:vAlign w:val="center"/>
          </w:tcPr>
          <w:p>
            <w:pPr>
              <w:tabs>
                <w:tab w:val="left" w:pos="1021"/>
              </w:tabs>
              <w:adjustRightInd w:val="0"/>
              <w:snapToGrid w:val="0"/>
              <w:jc w:val="center"/>
            </w:pPr>
            <w:r>
              <w:rPr>
                <w:rFonts w:hAnsi="宋体"/>
              </w:rPr>
              <w:t>序号</w:t>
            </w:r>
          </w:p>
        </w:tc>
        <w:tc>
          <w:tcPr>
            <w:tcW w:w="890" w:type="dxa"/>
            <w:vAlign w:val="center"/>
          </w:tcPr>
          <w:p>
            <w:pPr>
              <w:tabs>
                <w:tab w:val="left" w:pos="1021"/>
              </w:tabs>
              <w:adjustRightInd w:val="0"/>
              <w:snapToGrid w:val="0"/>
              <w:spacing w:line="320" w:lineRule="exact"/>
              <w:jc w:val="center"/>
            </w:pPr>
            <w:r>
              <w:rPr>
                <w:rFonts w:hAnsi="宋体"/>
              </w:rPr>
              <w:t>姓名</w:t>
            </w:r>
          </w:p>
        </w:tc>
        <w:tc>
          <w:tcPr>
            <w:tcW w:w="1681" w:type="dxa"/>
            <w:vAlign w:val="center"/>
          </w:tcPr>
          <w:p>
            <w:pPr>
              <w:tabs>
                <w:tab w:val="left" w:pos="1021"/>
              </w:tabs>
              <w:adjustRightInd w:val="0"/>
              <w:snapToGrid w:val="0"/>
              <w:spacing w:line="320" w:lineRule="exact"/>
              <w:jc w:val="center"/>
            </w:pPr>
            <w:r>
              <w:rPr>
                <w:rFonts w:hAnsi="宋体"/>
              </w:rPr>
              <w:t>职（执）业资格证书编号</w:t>
            </w:r>
          </w:p>
        </w:tc>
        <w:tc>
          <w:tcPr>
            <w:tcW w:w="1721" w:type="dxa"/>
            <w:vAlign w:val="center"/>
          </w:tcPr>
          <w:p>
            <w:pPr>
              <w:tabs>
                <w:tab w:val="left" w:pos="1021"/>
              </w:tabs>
              <w:adjustRightInd w:val="0"/>
              <w:snapToGrid w:val="0"/>
              <w:spacing w:line="320" w:lineRule="exact"/>
              <w:jc w:val="center"/>
            </w:pPr>
            <w:r>
              <w:rPr>
                <w:rFonts w:hAnsi="宋体"/>
              </w:rPr>
              <w:t>登记（注册证）编号</w:t>
            </w:r>
          </w:p>
        </w:tc>
        <w:tc>
          <w:tcPr>
            <w:tcW w:w="2126" w:type="dxa"/>
            <w:vAlign w:val="center"/>
          </w:tcPr>
          <w:p>
            <w:pPr>
              <w:tabs>
                <w:tab w:val="left" w:pos="1021"/>
              </w:tabs>
              <w:adjustRightInd w:val="0"/>
              <w:snapToGrid w:val="0"/>
              <w:spacing w:line="320" w:lineRule="exact"/>
              <w:jc w:val="center"/>
            </w:pPr>
            <w:r>
              <w:rPr>
                <w:rFonts w:hAnsi="宋体"/>
              </w:rPr>
              <w:t>编制内容</w:t>
            </w:r>
          </w:p>
        </w:tc>
        <w:tc>
          <w:tcPr>
            <w:tcW w:w="1588" w:type="dxa"/>
            <w:vAlign w:val="center"/>
          </w:tcPr>
          <w:p>
            <w:pPr>
              <w:tabs>
                <w:tab w:val="left" w:pos="1021"/>
              </w:tabs>
              <w:adjustRightInd w:val="0"/>
              <w:snapToGrid w:val="0"/>
              <w:spacing w:line="320" w:lineRule="exact"/>
              <w:jc w:val="center"/>
            </w:pPr>
            <w:r>
              <w:rPr>
                <w:rFonts w:hAnsi="宋体"/>
              </w:rPr>
              <w:t>本人签名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74" w:hRule="exact"/>
          <w:jc w:val="center"/>
        </w:trPr>
        <w:tc>
          <w:tcPr>
            <w:tcW w:w="599" w:type="dxa"/>
            <w:vMerge w:val="continue"/>
            <w:vAlign w:val="center"/>
          </w:tcPr>
          <w:p>
            <w:pPr>
              <w:tabs>
                <w:tab w:val="left" w:pos="1021"/>
              </w:tabs>
              <w:adjustRightInd w:val="0"/>
              <w:snapToGrid w:val="0"/>
              <w:spacing w:line="320" w:lineRule="exact"/>
              <w:jc w:val="center"/>
              <w:rPr>
                <w:rFonts w:eastAsia="黑体"/>
              </w:rPr>
            </w:pPr>
          </w:p>
        </w:tc>
        <w:tc>
          <w:tcPr>
            <w:tcW w:w="550" w:type="dxa"/>
            <w:vAlign w:val="center"/>
          </w:tcPr>
          <w:p>
            <w:pPr>
              <w:tabs>
                <w:tab w:val="left" w:pos="1021"/>
              </w:tabs>
              <w:adjustRightInd w:val="0"/>
              <w:snapToGrid w:val="0"/>
              <w:jc w:val="center"/>
            </w:pPr>
            <w:r>
              <w:t>1</w:t>
            </w:r>
          </w:p>
        </w:tc>
        <w:tc>
          <w:tcPr>
            <w:tcW w:w="890" w:type="dxa"/>
            <w:vAlign w:val="center"/>
          </w:tcPr>
          <w:p>
            <w:pPr>
              <w:tabs>
                <w:tab w:val="left" w:pos="1021"/>
              </w:tabs>
              <w:adjustRightInd w:val="0"/>
              <w:snapToGrid w:val="0"/>
              <w:spacing w:line="360" w:lineRule="auto"/>
              <w:jc w:val="center"/>
              <w:rPr>
                <w:rFonts w:eastAsia="仿宋"/>
                <w:spacing w:val="-10"/>
                <w:szCs w:val="21"/>
              </w:rPr>
            </w:pPr>
            <w:r>
              <w:rPr>
                <w:rFonts w:eastAsia="仿宋"/>
                <w:spacing w:val="-10"/>
                <w:szCs w:val="21"/>
              </w:rPr>
              <w:t>周韬</w:t>
            </w:r>
          </w:p>
        </w:tc>
        <w:tc>
          <w:tcPr>
            <w:tcW w:w="1681" w:type="dxa"/>
            <w:vAlign w:val="center"/>
          </w:tcPr>
          <w:p>
            <w:pPr>
              <w:tabs>
                <w:tab w:val="left" w:pos="1021"/>
              </w:tabs>
              <w:adjustRightInd w:val="0"/>
              <w:snapToGrid w:val="0"/>
              <w:spacing w:line="360" w:lineRule="auto"/>
              <w:jc w:val="center"/>
            </w:pPr>
            <w:r>
              <w:rPr>
                <w:rFonts w:hint="eastAsia" w:eastAsia="仿宋"/>
                <w:spacing w:val="-10"/>
                <w:szCs w:val="21"/>
              </w:rPr>
              <w:t>0</w:t>
            </w:r>
            <w:r>
              <w:rPr>
                <w:rFonts w:eastAsia="仿宋"/>
                <w:spacing w:val="-10"/>
                <w:szCs w:val="21"/>
              </w:rPr>
              <w:t>0013574</w:t>
            </w:r>
          </w:p>
        </w:tc>
        <w:tc>
          <w:tcPr>
            <w:tcW w:w="1721" w:type="dxa"/>
            <w:vAlign w:val="center"/>
          </w:tcPr>
          <w:p>
            <w:pPr>
              <w:tabs>
                <w:tab w:val="left" w:pos="1021"/>
              </w:tabs>
              <w:adjustRightInd w:val="0"/>
              <w:snapToGrid w:val="0"/>
              <w:spacing w:line="360" w:lineRule="auto"/>
              <w:jc w:val="center"/>
            </w:pPr>
            <w:r>
              <w:rPr>
                <w:rFonts w:eastAsia="仿宋"/>
                <w:spacing w:val="-10"/>
                <w:szCs w:val="21"/>
              </w:rPr>
              <w:t>B2708</w:t>
            </w:r>
            <w:r>
              <w:rPr>
                <w:rFonts w:hint="eastAsia" w:eastAsia="仿宋"/>
                <w:spacing w:val="-10"/>
                <w:szCs w:val="21"/>
              </w:rPr>
              <w:t>04803</w:t>
            </w:r>
          </w:p>
        </w:tc>
        <w:tc>
          <w:tcPr>
            <w:tcW w:w="2126" w:type="dxa"/>
            <w:vAlign w:val="center"/>
          </w:tcPr>
          <w:p>
            <w:pPr>
              <w:tabs>
                <w:tab w:val="left" w:pos="1021"/>
              </w:tabs>
              <w:adjustRightInd w:val="0"/>
              <w:snapToGrid w:val="0"/>
              <w:spacing w:line="312" w:lineRule="auto"/>
              <w:jc w:val="left"/>
              <w:rPr>
                <w:rFonts w:eastAsia="仿宋"/>
                <w:spacing w:val="-10"/>
                <w:szCs w:val="21"/>
              </w:rPr>
            </w:pPr>
            <w:r>
              <w:rPr>
                <w:rFonts w:hint="eastAsia" w:eastAsia="仿宋"/>
                <w:spacing w:val="-10"/>
                <w:szCs w:val="21"/>
              </w:rPr>
              <w:t>建设项目基本情况、工程分析、主要污染物产排情况、环境影响分析、拟采取的防治措施及预期治理效果、结论与建议</w:t>
            </w:r>
          </w:p>
        </w:tc>
        <w:tc>
          <w:tcPr>
            <w:tcW w:w="1588" w:type="dxa"/>
            <w:vAlign w:val="center"/>
          </w:tcPr>
          <w:p>
            <w:pPr>
              <w:tabs>
                <w:tab w:val="left" w:pos="1021"/>
              </w:tabs>
              <w:adjustRightInd w:val="0"/>
              <w:snapToGrid w:val="0"/>
              <w:spacing w:line="360" w:lineRule="auto"/>
              <w:jc w:val="cente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599" w:type="dxa"/>
            <w:vMerge w:val="continue"/>
            <w:vAlign w:val="center"/>
          </w:tcPr>
          <w:p>
            <w:pPr>
              <w:tabs>
                <w:tab w:val="left" w:pos="1021"/>
              </w:tabs>
              <w:adjustRightInd w:val="0"/>
              <w:snapToGrid w:val="0"/>
              <w:spacing w:line="320" w:lineRule="exact"/>
              <w:jc w:val="center"/>
              <w:rPr>
                <w:rFonts w:eastAsia="黑体"/>
              </w:rPr>
            </w:pPr>
          </w:p>
        </w:tc>
        <w:tc>
          <w:tcPr>
            <w:tcW w:w="550" w:type="dxa"/>
            <w:vAlign w:val="center"/>
          </w:tcPr>
          <w:p>
            <w:pPr>
              <w:tabs>
                <w:tab w:val="left" w:pos="1021"/>
              </w:tabs>
              <w:adjustRightInd w:val="0"/>
              <w:snapToGrid w:val="0"/>
              <w:jc w:val="center"/>
            </w:pPr>
            <w:r>
              <w:rPr>
                <w:rFonts w:hint="eastAsia"/>
              </w:rPr>
              <w:t>2</w:t>
            </w:r>
          </w:p>
        </w:tc>
        <w:tc>
          <w:tcPr>
            <w:tcW w:w="890" w:type="dxa"/>
            <w:vAlign w:val="center"/>
          </w:tcPr>
          <w:p>
            <w:pPr>
              <w:tabs>
                <w:tab w:val="left" w:pos="1021"/>
              </w:tabs>
              <w:adjustRightInd w:val="0"/>
              <w:snapToGrid w:val="0"/>
              <w:spacing w:line="360" w:lineRule="auto"/>
              <w:jc w:val="center"/>
              <w:rPr>
                <w:rFonts w:eastAsia="仿宋"/>
                <w:spacing w:val="-10"/>
                <w:szCs w:val="21"/>
              </w:rPr>
            </w:pPr>
            <w:r>
              <w:rPr>
                <w:rFonts w:eastAsia="仿宋"/>
                <w:spacing w:val="-10"/>
                <w:szCs w:val="21"/>
              </w:rPr>
              <w:t>甘来</w:t>
            </w:r>
          </w:p>
        </w:tc>
        <w:tc>
          <w:tcPr>
            <w:tcW w:w="1681" w:type="dxa"/>
            <w:vAlign w:val="center"/>
          </w:tcPr>
          <w:p>
            <w:pPr>
              <w:tabs>
                <w:tab w:val="left" w:pos="1021"/>
              </w:tabs>
              <w:adjustRightInd w:val="0"/>
              <w:snapToGrid w:val="0"/>
              <w:jc w:val="center"/>
            </w:pPr>
            <w:r>
              <w:rPr>
                <w:rFonts w:eastAsia="仿宋"/>
                <w:spacing w:val="-10"/>
                <w:szCs w:val="21"/>
              </w:rPr>
              <w:t>0012119</w:t>
            </w:r>
          </w:p>
        </w:tc>
        <w:tc>
          <w:tcPr>
            <w:tcW w:w="1721" w:type="dxa"/>
            <w:vAlign w:val="center"/>
          </w:tcPr>
          <w:p>
            <w:pPr>
              <w:tabs>
                <w:tab w:val="left" w:pos="1021"/>
              </w:tabs>
              <w:adjustRightInd w:val="0"/>
              <w:snapToGrid w:val="0"/>
              <w:jc w:val="center"/>
            </w:pPr>
            <w:r>
              <w:rPr>
                <w:rFonts w:eastAsia="仿宋"/>
                <w:spacing w:val="-10"/>
                <w:szCs w:val="21"/>
              </w:rPr>
              <w:t>B2708</w:t>
            </w:r>
            <w:r>
              <w:rPr>
                <w:rFonts w:hint="eastAsia" w:eastAsia="仿宋"/>
                <w:spacing w:val="-10"/>
                <w:szCs w:val="21"/>
              </w:rPr>
              <w:t>03808</w:t>
            </w:r>
          </w:p>
        </w:tc>
        <w:tc>
          <w:tcPr>
            <w:tcW w:w="2126" w:type="dxa"/>
            <w:vAlign w:val="center"/>
          </w:tcPr>
          <w:p>
            <w:pPr>
              <w:tabs>
                <w:tab w:val="left" w:pos="1021"/>
              </w:tabs>
              <w:adjustRightInd w:val="0"/>
              <w:snapToGrid w:val="0"/>
              <w:spacing w:line="312" w:lineRule="auto"/>
              <w:jc w:val="center"/>
              <w:rPr>
                <w:rFonts w:eastAsia="仿宋"/>
                <w:spacing w:val="-10"/>
                <w:szCs w:val="21"/>
              </w:rPr>
            </w:pPr>
            <w:r>
              <w:rPr>
                <w:rFonts w:hint="eastAsia" w:eastAsia="仿宋"/>
                <w:spacing w:val="-10"/>
                <w:szCs w:val="21"/>
              </w:rPr>
              <w:t>建设项目所在地自然环境、社会环境概况、环境质量状况、评价标准</w:t>
            </w:r>
          </w:p>
        </w:tc>
        <w:tc>
          <w:tcPr>
            <w:tcW w:w="1588" w:type="dxa"/>
            <w:vAlign w:val="center"/>
          </w:tcPr>
          <w:p>
            <w:pPr>
              <w:tabs>
                <w:tab w:val="left" w:pos="1021"/>
              </w:tabs>
              <w:adjustRightInd w:val="0"/>
              <w:snapToGrid w:val="0"/>
              <w:spacing w:line="360" w:lineRule="auto"/>
              <w:jc w:val="center"/>
            </w:pPr>
            <w:r>
              <w:drawing>
                <wp:inline distT="0" distB="0" distL="0" distR="0">
                  <wp:extent cx="828675" cy="409575"/>
                  <wp:effectExtent l="19050" t="0" r="9525" b="0"/>
                  <wp:docPr id="1" name="图片 30" descr="甘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descr="甘来"/>
                          <pic:cNvPicPr>
                            <a:picLocks noChangeAspect="1" noChangeArrowheads="1"/>
                          </pic:cNvPicPr>
                        </pic:nvPicPr>
                        <pic:blipFill>
                          <a:blip r:embed="rId16"/>
                          <a:srcRect/>
                          <a:stretch>
                            <a:fillRect/>
                          </a:stretch>
                        </pic:blipFill>
                        <pic:spPr>
                          <a:xfrm>
                            <a:off x="0" y="0"/>
                            <a:ext cx="828675" cy="409575"/>
                          </a:xfrm>
                          <a:prstGeom prst="rect">
                            <a:avLst/>
                          </a:prstGeom>
                          <a:noFill/>
                          <a:ln w="9525">
                            <a:noFill/>
                            <a:miter lim="800000"/>
                            <a:headEnd/>
                            <a:tailEnd/>
                          </a:ln>
                        </pic:spPr>
                      </pic:pic>
                    </a:graphicData>
                  </a:graphic>
                </wp:inline>
              </w:drawing>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21" w:hRule="exact"/>
          <w:jc w:val="center"/>
        </w:trPr>
        <w:tc>
          <w:tcPr>
            <w:tcW w:w="599" w:type="dxa"/>
            <w:vMerge w:val="continue"/>
            <w:vAlign w:val="center"/>
          </w:tcPr>
          <w:p>
            <w:pPr>
              <w:tabs>
                <w:tab w:val="left" w:pos="1021"/>
              </w:tabs>
              <w:adjustRightInd w:val="0"/>
              <w:snapToGrid w:val="0"/>
              <w:spacing w:line="320" w:lineRule="exact"/>
              <w:jc w:val="center"/>
              <w:rPr>
                <w:rFonts w:eastAsia="黑体"/>
              </w:rPr>
            </w:pPr>
          </w:p>
        </w:tc>
        <w:tc>
          <w:tcPr>
            <w:tcW w:w="550" w:type="dxa"/>
            <w:vAlign w:val="center"/>
          </w:tcPr>
          <w:p>
            <w:pPr>
              <w:tabs>
                <w:tab w:val="left" w:pos="1021"/>
              </w:tabs>
              <w:adjustRightInd w:val="0"/>
              <w:snapToGrid w:val="0"/>
              <w:jc w:val="center"/>
            </w:pPr>
            <w:r>
              <w:rPr>
                <w:rFonts w:hint="eastAsia"/>
              </w:rPr>
              <w:t>3</w:t>
            </w:r>
          </w:p>
        </w:tc>
        <w:tc>
          <w:tcPr>
            <w:tcW w:w="890" w:type="dxa"/>
            <w:vAlign w:val="center"/>
          </w:tcPr>
          <w:p>
            <w:pPr>
              <w:tabs>
                <w:tab w:val="left" w:pos="1021"/>
              </w:tabs>
              <w:adjustRightInd w:val="0"/>
              <w:snapToGrid w:val="0"/>
              <w:spacing w:line="320" w:lineRule="exact"/>
              <w:jc w:val="center"/>
              <w:rPr>
                <w:rFonts w:eastAsia="黑体"/>
              </w:rPr>
            </w:pPr>
            <w:r>
              <w:rPr>
                <w:rFonts w:eastAsia="仿宋"/>
                <w:spacing w:val="-10"/>
                <w:szCs w:val="21"/>
              </w:rPr>
              <w:t>胡洪定</w:t>
            </w:r>
          </w:p>
        </w:tc>
        <w:tc>
          <w:tcPr>
            <w:tcW w:w="1681" w:type="dxa"/>
            <w:vAlign w:val="center"/>
          </w:tcPr>
          <w:p>
            <w:pPr>
              <w:tabs>
                <w:tab w:val="left" w:pos="1021"/>
              </w:tabs>
              <w:adjustRightInd w:val="0"/>
              <w:snapToGrid w:val="0"/>
              <w:spacing w:line="360" w:lineRule="auto"/>
              <w:jc w:val="center"/>
            </w:pPr>
            <w:r>
              <w:rPr>
                <w:rFonts w:eastAsia="仿宋"/>
                <w:spacing w:val="-10"/>
                <w:szCs w:val="21"/>
              </w:rPr>
              <w:t>0005464</w:t>
            </w:r>
          </w:p>
        </w:tc>
        <w:tc>
          <w:tcPr>
            <w:tcW w:w="1721" w:type="dxa"/>
            <w:vAlign w:val="center"/>
          </w:tcPr>
          <w:p>
            <w:pPr>
              <w:tabs>
                <w:tab w:val="left" w:pos="1021"/>
              </w:tabs>
              <w:adjustRightInd w:val="0"/>
              <w:snapToGrid w:val="0"/>
              <w:spacing w:line="360" w:lineRule="auto"/>
              <w:jc w:val="center"/>
            </w:pPr>
            <w:r>
              <w:rPr>
                <w:rFonts w:eastAsia="仿宋"/>
                <w:spacing w:val="-10"/>
                <w:szCs w:val="21"/>
              </w:rPr>
              <w:t>B2708</w:t>
            </w:r>
            <w:r>
              <w:rPr>
                <w:rFonts w:hint="eastAsia" w:eastAsia="仿宋"/>
                <w:spacing w:val="-10"/>
                <w:szCs w:val="21"/>
              </w:rPr>
              <w:t>04208</w:t>
            </w:r>
          </w:p>
        </w:tc>
        <w:tc>
          <w:tcPr>
            <w:tcW w:w="2126" w:type="dxa"/>
            <w:vAlign w:val="center"/>
          </w:tcPr>
          <w:p>
            <w:pPr>
              <w:tabs>
                <w:tab w:val="left" w:pos="1021"/>
              </w:tabs>
              <w:adjustRightInd w:val="0"/>
              <w:snapToGrid w:val="0"/>
              <w:jc w:val="center"/>
              <w:rPr>
                <w:rFonts w:eastAsia="仿宋"/>
                <w:spacing w:val="-10"/>
                <w:szCs w:val="21"/>
              </w:rPr>
            </w:pPr>
            <w:r>
              <w:rPr>
                <w:rFonts w:eastAsia="仿宋"/>
                <w:spacing w:val="-10"/>
                <w:szCs w:val="21"/>
              </w:rPr>
              <w:t>审核</w:t>
            </w:r>
          </w:p>
        </w:tc>
        <w:tc>
          <w:tcPr>
            <w:tcW w:w="1588" w:type="dxa"/>
            <w:vAlign w:val="center"/>
          </w:tcPr>
          <w:p>
            <w:pPr>
              <w:tabs>
                <w:tab w:val="left" w:pos="1021"/>
              </w:tabs>
              <w:adjustRightInd w:val="0"/>
              <w:snapToGrid w:val="0"/>
              <w:spacing w:line="360" w:lineRule="auto"/>
              <w:jc w:val="center"/>
            </w:pPr>
            <w:r>
              <w:drawing>
                <wp:anchor distT="0" distB="0" distL="114300" distR="114300" simplePos="0" relativeHeight="251637760" behindDoc="0" locked="0" layoutInCell="1" allowOverlap="1">
                  <wp:simplePos x="0" y="0"/>
                  <wp:positionH relativeFrom="column">
                    <wp:posOffset>32385</wp:posOffset>
                  </wp:positionH>
                  <wp:positionV relativeFrom="paragraph">
                    <wp:posOffset>207645</wp:posOffset>
                  </wp:positionV>
                  <wp:extent cx="809625" cy="361950"/>
                  <wp:effectExtent l="19050" t="0" r="9525" b="0"/>
                  <wp:wrapNone/>
                  <wp:docPr id="1590"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 name="图片 125"/>
                          <pic:cNvPicPr>
                            <a:picLocks noChangeAspect="1" noChangeArrowheads="1"/>
                          </pic:cNvPicPr>
                        </pic:nvPicPr>
                        <pic:blipFill>
                          <a:blip r:embed="rId17" cstate="print"/>
                          <a:srcRect/>
                          <a:stretch>
                            <a:fillRect/>
                          </a:stretch>
                        </pic:blipFill>
                        <pic:spPr>
                          <a:xfrm>
                            <a:off x="0" y="0"/>
                            <a:ext cx="809625" cy="361950"/>
                          </a:xfrm>
                          <a:prstGeom prst="rect">
                            <a:avLst/>
                          </a:prstGeom>
                          <a:noFill/>
                          <a:ln w="9525">
                            <a:noFill/>
                            <a:miter lim="800000"/>
                            <a:headEnd/>
                            <a:tailEnd/>
                          </a:ln>
                        </pic:spPr>
                      </pic:pic>
                    </a:graphicData>
                  </a:graphic>
                </wp:anchor>
              </w:drawing>
            </w:r>
          </w:p>
        </w:tc>
      </w:tr>
    </w:tbl>
    <w:p>
      <w:pPr>
        <w:tabs>
          <w:tab w:val="left" w:pos="1021"/>
        </w:tabs>
      </w:pPr>
    </w:p>
    <w:p>
      <w:pPr>
        <w:tabs>
          <w:tab w:val="left" w:pos="1021"/>
        </w:tabs>
      </w:pP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720" w:num="1"/>
          <w:titlePg/>
          <w:docGrid w:type="lines" w:linePitch="312" w:charSpace="0"/>
        </w:sectPr>
      </w:pPr>
    </w:p>
    <w:p>
      <w:pPr>
        <w:jc w:val="center"/>
        <w:rPr>
          <w:b/>
          <w:spacing w:val="6"/>
          <w:sz w:val="32"/>
        </w:rPr>
      </w:pPr>
      <w:r>
        <w:rPr>
          <w:b/>
          <w:spacing w:val="6"/>
          <w:sz w:val="32"/>
        </w:rPr>
        <w:t>《建设项目环境影响报告表》编制说明</w:t>
      </w:r>
    </w:p>
    <w:p>
      <w:pPr>
        <w:spacing w:line="760" w:lineRule="exact"/>
        <w:ind w:firstLine="573"/>
        <w:rPr>
          <w:spacing w:val="6"/>
          <w:sz w:val="24"/>
        </w:rPr>
      </w:pPr>
      <w:r>
        <w:rPr>
          <w:spacing w:val="6"/>
          <w:sz w:val="24"/>
        </w:rPr>
        <w:t>《建设项目环境影响报告表》由具有从事环境影响评价工作资质的单位编制。</w:t>
      </w:r>
    </w:p>
    <w:p>
      <w:pPr>
        <w:spacing w:line="760" w:lineRule="exact"/>
        <w:ind w:firstLine="573"/>
        <w:rPr>
          <w:spacing w:val="6"/>
          <w:sz w:val="24"/>
        </w:rPr>
      </w:pPr>
      <w:r>
        <w:rPr>
          <w:spacing w:val="6"/>
          <w:sz w:val="24"/>
        </w:rPr>
        <w:t>1．项目名称——指项目立项批复时的名称，应不超过30个字（两个英文字段作一个汉字）。</w:t>
      </w:r>
    </w:p>
    <w:p>
      <w:pPr>
        <w:spacing w:line="760" w:lineRule="exact"/>
        <w:ind w:firstLine="573"/>
        <w:rPr>
          <w:spacing w:val="6"/>
          <w:sz w:val="24"/>
        </w:rPr>
      </w:pPr>
      <w:r>
        <w:rPr>
          <w:spacing w:val="6"/>
          <w:sz w:val="24"/>
        </w:rPr>
        <w:t>2．建设地点——指项目所在地详细地址，公路、铁路应填写起止地点。</w:t>
      </w:r>
    </w:p>
    <w:p>
      <w:pPr>
        <w:spacing w:line="760" w:lineRule="exact"/>
        <w:ind w:firstLine="573"/>
        <w:rPr>
          <w:spacing w:val="6"/>
          <w:sz w:val="24"/>
        </w:rPr>
      </w:pPr>
      <w:r>
        <w:rPr>
          <w:spacing w:val="6"/>
          <w:sz w:val="24"/>
        </w:rPr>
        <w:t>3．行业类别——按国标填写。</w:t>
      </w:r>
    </w:p>
    <w:p>
      <w:pPr>
        <w:spacing w:line="760" w:lineRule="exact"/>
        <w:ind w:firstLine="573"/>
        <w:rPr>
          <w:spacing w:val="6"/>
          <w:sz w:val="24"/>
        </w:rPr>
      </w:pPr>
      <w:r>
        <w:rPr>
          <w:spacing w:val="6"/>
          <w:sz w:val="24"/>
        </w:rPr>
        <w:t>4．总投资——指项目投资总额。</w:t>
      </w:r>
    </w:p>
    <w:p>
      <w:pPr>
        <w:spacing w:line="760" w:lineRule="exact"/>
        <w:ind w:firstLine="573"/>
        <w:rPr>
          <w:spacing w:val="6"/>
          <w:sz w:val="24"/>
        </w:rPr>
      </w:pPr>
      <w:r>
        <w:rPr>
          <w:spacing w:val="6"/>
          <w:sz w:val="24"/>
        </w:rPr>
        <w:t>5．主要环境保护目标——指项目周围一定范围内集中居民住宅区、学校、医院、保护文物、风景名胜区、水源地和生态敏感点等，应尽可能给出保护目标、性质、规模和距厂界距离等。</w:t>
      </w:r>
    </w:p>
    <w:p>
      <w:pPr>
        <w:spacing w:line="760" w:lineRule="exact"/>
        <w:ind w:firstLine="573"/>
        <w:rPr>
          <w:spacing w:val="6"/>
          <w:sz w:val="24"/>
        </w:rPr>
      </w:pPr>
      <w:r>
        <w:rPr>
          <w:spacing w:val="6"/>
          <w:sz w:val="24"/>
        </w:rPr>
        <w:t>6．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760" w:lineRule="exact"/>
        <w:ind w:firstLine="573"/>
        <w:rPr>
          <w:spacing w:val="6"/>
          <w:sz w:val="24"/>
        </w:rPr>
      </w:pPr>
      <w:r>
        <w:rPr>
          <w:spacing w:val="6"/>
          <w:sz w:val="24"/>
        </w:rPr>
        <w:t>7．预审意见——由行业主管部门填写答复意见，无主管部门项目，可不填。</w:t>
      </w:r>
    </w:p>
    <w:p>
      <w:pPr>
        <w:spacing w:line="760" w:lineRule="exact"/>
        <w:ind w:firstLine="573"/>
        <w:rPr>
          <w:spacing w:val="6"/>
          <w:sz w:val="24"/>
        </w:rPr>
      </w:pPr>
      <w:r>
        <w:rPr>
          <w:spacing w:val="6"/>
          <w:sz w:val="24"/>
        </w:rPr>
        <w:t>8．审批意见——由负责审批该项目的环境保护行政主管部门批复。</w:t>
      </w:r>
    </w:p>
    <w:p>
      <w:pPr>
        <w:spacing w:line="760" w:lineRule="exact"/>
        <w:rPr>
          <w:spacing w:val="6"/>
          <w:sz w:val="24"/>
        </w:rPr>
      </w:pPr>
    </w:p>
    <w:p>
      <w:pPr>
        <w:spacing w:line="460" w:lineRule="exact"/>
        <w:rPr>
          <w:b/>
          <w:spacing w:val="6"/>
          <w:sz w:val="28"/>
        </w:rPr>
        <w:sectPr>
          <w:headerReference r:id="rId11" w:type="default"/>
          <w:footerReference r:id="rId12" w:type="default"/>
          <w:footerReference r:id="rId13" w:type="even"/>
          <w:pgSz w:w="11906" w:h="16838"/>
          <w:pgMar w:top="1418" w:right="1077" w:bottom="1247" w:left="1418" w:header="851" w:footer="992" w:gutter="0"/>
          <w:pgNumType w:start="1"/>
          <w:cols w:space="720" w:num="1"/>
          <w:docGrid w:type="lines" w:linePitch="312" w:charSpace="0"/>
        </w:sectPr>
      </w:pPr>
    </w:p>
    <w:p>
      <w:pPr>
        <w:tabs>
          <w:tab w:val="left" w:pos="3828"/>
        </w:tabs>
        <w:spacing w:line="460" w:lineRule="exact"/>
        <w:outlineLvl w:val="0"/>
        <w:rPr>
          <w:rFonts w:ascii="黑体" w:hAnsi="黑体" w:eastAsia="黑体"/>
          <w:b/>
          <w:spacing w:val="6"/>
          <w:sz w:val="30"/>
          <w:szCs w:val="30"/>
        </w:rPr>
      </w:pPr>
      <w:r>
        <w:rPr>
          <w:rFonts w:hint="eastAsia" w:ascii="黑体" w:hAnsi="黑体" w:eastAsia="黑体"/>
          <w:b/>
          <w:spacing w:val="6"/>
          <w:sz w:val="30"/>
          <w:szCs w:val="30"/>
        </w:rPr>
        <w:t>一、</w:t>
      </w:r>
      <w:r>
        <w:rPr>
          <w:rFonts w:ascii="黑体" w:hAnsi="黑体" w:eastAsia="黑体"/>
          <w:b/>
          <w:spacing w:val="6"/>
          <w:sz w:val="30"/>
          <w:szCs w:val="30"/>
        </w:rPr>
        <w:t>建设项目基本情况</w:t>
      </w:r>
    </w:p>
    <w:tbl>
      <w:tblPr>
        <w:tblStyle w:val="29"/>
        <w:tblW w:w="1026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6"/>
        <w:gridCol w:w="2338"/>
        <w:gridCol w:w="1807"/>
        <w:gridCol w:w="17"/>
        <w:gridCol w:w="1335"/>
        <w:gridCol w:w="124"/>
        <w:gridCol w:w="1095"/>
        <w:gridCol w:w="596"/>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6" w:type="dxa"/>
            <w:gridSpan w:val="2"/>
            <w:vAlign w:val="center"/>
          </w:tcPr>
          <w:p>
            <w:pPr>
              <w:jc w:val="center"/>
              <w:rPr>
                <w:color w:val="auto"/>
                <w:spacing w:val="6"/>
                <w:sz w:val="24"/>
                <w:highlight w:val="none"/>
              </w:rPr>
            </w:pPr>
            <w:r>
              <w:rPr>
                <w:color w:val="auto"/>
                <w:spacing w:val="6"/>
                <w:sz w:val="24"/>
                <w:highlight w:val="none"/>
              </w:rPr>
              <w:t>项目名称</w:t>
            </w:r>
          </w:p>
        </w:tc>
        <w:tc>
          <w:tcPr>
            <w:tcW w:w="8589" w:type="dxa"/>
            <w:gridSpan w:val="8"/>
            <w:vAlign w:val="center"/>
          </w:tcPr>
          <w:p>
            <w:pPr>
              <w:spacing w:line="360" w:lineRule="auto"/>
              <w:jc w:val="center"/>
              <w:rPr>
                <w:color w:val="auto"/>
                <w:sz w:val="24"/>
                <w:highlight w:val="none"/>
              </w:rPr>
            </w:pPr>
            <w:r>
              <w:rPr>
                <w:rFonts w:hint="eastAsia"/>
                <w:color w:val="auto"/>
                <w:sz w:val="24"/>
                <w:highlight w:val="none"/>
              </w:rPr>
              <w:t>舍弗勒（湘潭）有限公司汽车零部件建设项目一期工程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6" w:type="dxa"/>
            <w:gridSpan w:val="2"/>
            <w:vAlign w:val="center"/>
          </w:tcPr>
          <w:p>
            <w:pPr>
              <w:jc w:val="center"/>
              <w:rPr>
                <w:color w:val="auto"/>
                <w:spacing w:val="6"/>
                <w:sz w:val="24"/>
                <w:highlight w:val="none"/>
              </w:rPr>
            </w:pPr>
            <w:r>
              <w:rPr>
                <w:color w:val="auto"/>
                <w:spacing w:val="6"/>
                <w:sz w:val="24"/>
                <w:highlight w:val="none"/>
              </w:rPr>
              <w:t>建设单位</w:t>
            </w:r>
          </w:p>
        </w:tc>
        <w:tc>
          <w:tcPr>
            <w:tcW w:w="8589" w:type="dxa"/>
            <w:gridSpan w:val="8"/>
            <w:vAlign w:val="center"/>
          </w:tcPr>
          <w:p>
            <w:pPr>
              <w:spacing w:line="360" w:lineRule="auto"/>
              <w:jc w:val="center"/>
              <w:rPr>
                <w:color w:val="auto"/>
                <w:sz w:val="24"/>
                <w:highlight w:val="none"/>
              </w:rPr>
            </w:pPr>
            <w:r>
              <w:rPr>
                <w:rFonts w:hint="eastAsia"/>
                <w:color w:val="auto"/>
                <w:sz w:val="24"/>
                <w:highlight w:val="none"/>
              </w:rPr>
              <w:t>舍弗勒（湘潭）有限公司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6" w:type="dxa"/>
            <w:gridSpan w:val="2"/>
            <w:vAlign w:val="center"/>
          </w:tcPr>
          <w:p>
            <w:pPr>
              <w:jc w:val="center"/>
              <w:rPr>
                <w:color w:val="auto"/>
                <w:spacing w:val="6"/>
                <w:sz w:val="24"/>
                <w:highlight w:val="none"/>
              </w:rPr>
            </w:pPr>
            <w:r>
              <w:rPr>
                <w:color w:val="auto"/>
                <w:spacing w:val="6"/>
                <w:sz w:val="24"/>
                <w:highlight w:val="none"/>
              </w:rPr>
              <w:t>法人代表</w:t>
            </w:r>
          </w:p>
        </w:tc>
        <w:tc>
          <w:tcPr>
            <w:tcW w:w="4145" w:type="dxa"/>
            <w:gridSpan w:val="2"/>
            <w:vAlign w:val="center"/>
          </w:tcPr>
          <w:p>
            <w:pPr>
              <w:spacing w:line="360" w:lineRule="auto"/>
              <w:jc w:val="center"/>
              <w:rPr>
                <w:color w:val="auto"/>
                <w:sz w:val="24"/>
                <w:highlight w:val="none"/>
              </w:rPr>
            </w:pPr>
            <w:r>
              <w:rPr>
                <w:rFonts w:hint="eastAsia"/>
                <w:color w:val="auto"/>
                <w:sz w:val="24"/>
                <w:highlight w:val="none"/>
              </w:rPr>
              <w:t>张艺林</w:t>
            </w:r>
          </w:p>
        </w:tc>
        <w:tc>
          <w:tcPr>
            <w:tcW w:w="1352" w:type="dxa"/>
            <w:gridSpan w:val="2"/>
            <w:vAlign w:val="center"/>
          </w:tcPr>
          <w:p>
            <w:pPr>
              <w:spacing w:line="360" w:lineRule="auto"/>
              <w:jc w:val="center"/>
              <w:rPr>
                <w:color w:val="auto"/>
                <w:sz w:val="24"/>
                <w:highlight w:val="none"/>
              </w:rPr>
            </w:pPr>
            <w:r>
              <w:rPr>
                <w:color w:val="auto"/>
                <w:sz w:val="24"/>
                <w:highlight w:val="none"/>
              </w:rPr>
              <w:t>联系人</w:t>
            </w:r>
          </w:p>
        </w:tc>
        <w:tc>
          <w:tcPr>
            <w:tcW w:w="3092" w:type="dxa"/>
            <w:gridSpan w:val="4"/>
            <w:vAlign w:val="center"/>
          </w:tcPr>
          <w:p>
            <w:pPr>
              <w:spacing w:line="360" w:lineRule="auto"/>
              <w:jc w:val="center"/>
              <w:rPr>
                <w:color w:val="auto"/>
                <w:sz w:val="24"/>
                <w:highlight w:val="none"/>
              </w:rPr>
            </w:pPr>
            <w:r>
              <w:rPr>
                <w:rFonts w:hint="eastAsia"/>
                <w:color w:val="auto"/>
                <w:sz w:val="24"/>
                <w:highlight w:val="none"/>
              </w:rPr>
              <w:t>曹致尧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6" w:type="dxa"/>
            <w:gridSpan w:val="2"/>
            <w:vAlign w:val="center"/>
          </w:tcPr>
          <w:p>
            <w:pPr>
              <w:jc w:val="center"/>
              <w:rPr>
                <w:color w:val="auto"/>
                <w:spacing w:val="6"/>
                <w:sz w:val="24"/>
                <w:highlight w:val="none"/>
              </w:rPr>
            </w:pPr>
            <w:r>
              <w:rPr>
                <w:color w:val="auto"/>
                <w:spacing w:val="6"/>
                <w:sz w:val="24"/>
                <w:highlight w:val="none"/>
              </w:rPr>
              <w:t>通讯地址</w:t>
            </w:r>
          </w:p>
        </w:tc>
        <w:tc>
          <w:tcPr>
            <w:tcW w:w="8589" w:type="dxa"/>
            <w:gridSpan w:val="8"/>
            <w:vAlign w:val="center"/>
          </w:tcPr>
          <w:p>
            <w:pPr>
              <w:spacing w:line="360" w:lineRule="auto"/>
              <w:jc w:val="center"/>
              <w:rPr>
                <w:color w:val="auto"/>
                <w:spacing w:val="6"/>
                <w:sz w:val="24"/>
                <w:highlight w:val="none"/>
              </w:rPr>
            </w:pPr>
            <w:r>
              <w:rPr>
                <w:rFonts w:hint="eastAsia"/>
                <w:color w:val="auto"/>
                <w:sz w:val="24"/>
                <w:highlight w:val="none"/>
              </w:rPr>
              <w:t>江苏省太仓市经济开发区舍弗勒路1-3号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6" w:type="dxa"/>
            <w:gridSpan w:val="2"/>
            <w:vAlign w:val="center"/>
          </w:tcPr>
          <w:p>
            <w:pPr>
              <w:jc w:val="center"/>
              <w:rPr>
                <w:color w:val="auto"/>
                <w:spacing w:val="6"/>
                <w:sz w:val="24"/>
                <w:highlight w:val="none"/>
              </w:rPr>
            </w:pPr>
            <w:r>
              <w:rPr>
                <w:color w:val="auto"/>
                <w:spacing w:val="6"/>
                <w:sz w:val="24"/>
                <w:highlight w:val="none"/>
              </w:rPr>
              <w:t>联系电话</w:t>
            </w:r>
          </w:p>
        </w:tc>
        <w:tc>
          <w:tcPr>
            <w:tcW w:w="2338" w:type="dxa"/>
            <w:vAlign w:val="center"/>
          </w:tcPr>
          <w:p>
            <w:pPr>
              <w:spacing w:line="360" w:lineRule="auto"/>
              <w:jc w:val="center"/>
              <w:rPr>
                <w:color w:val="auto"/>
                <w:sz w:val="24"/>
                <w:highlight w:val="none"/>
              </w:rPr>
            </w:pPr>
            <w:r>
              <w:rPr>
                <w:rFonts w:hint="eastAsia"/>
                <w:color w:val="auto"/>
                <w:sz w:val="24"/>
                <w:highlight w:val="none"/>
              </w:rPr>
              <w:t>0512-53958370</w:t>
            </w:r>
          </w:p>
        </w:tc>
        <w:tc>
          <w:tcPr>
            <w:tcW w:w="1824" w:type="dxa"/>
            <w:gridSpan w:val="2"/>
            <w:vAlign w:val="center"/>
          </w:tcPr>
          <w:p>
            <w:pPr>
              <w:spacing w:line="360" w:lineRule="auto"/>
              <w:jc w:val="center"/>
              <w:rPr>
                <w:color w:val="auto"/>
                <w:sz w:val="24"/>
                <w:highlight w:val="none"/>
              </w:rPr>
            </w:pPr>
            <w:r>
              <w:rPr>
                <w:color w:val="auto"/>
                <w:sz w:val="24"/>
                <w:highlight w:val="none"/>
              </w:rPr>
              <w:t>传真</w:t>
            </w:r>
          </w:p>
        </w:tc>
        <w:tc>
          <w:tcPr>
            <w:tcW w:w="1459" w:type="dxa"/>
            <w:gridSpan w:val="2"/>
            <w:vAlign w:val="center"/>
          </w:tcPr>
          <w:p>
            <w:pPr>
              <w:spacing w:line="360" w:lineRule="auto"/>
              <w:jc w:val="center"/>
              <w:rPr>
                <w:color w:val="auto"/>
                <w:sz w:val="24"/>
                <w:highlight w:val="none"/>
              </w:rPr>
            </w:pPr>
            <w:r>
              <w:rPr>
                <w:rFonts w:hint="eastAsia"/>
                <w:color w:val="auto"/>
                <w:sz w:val="24"/>
                <w:highlight w:val="none"/>
              </w:rPr>
              <w:t>/</w:t>
            </w:r>
          </w:p>
        </w:tc>
        <w:tc>
          <w:tcPr>
            <w:tcW w:w="1095" w:type="dxa"/>
            <w:vAlign w:val="center"/>
          </w:tcPr>
          <w:p>
            <w:pPr>
              <w:spacing w:line="360" w:lineRule="auto"/>
              <w:jc w:val="center"/>
              <w:rPr>
                <w:color w:val="auto"/>
                <w:spacing w:val="6"/>
                <w:sz w:val="24"/>
                <w:highlight w:val="none"/>
              </w:rPr>
            </w:pPr>
            <w:r>
              <w:rPr>
                <w:color w:val="auto"/>
                <w:spacing w:val="6"/>
                <w:sz w:val="24"/>
                <w:highlight w:val="none"/>
              </w:rPr>
              <w:t>邮政编码</w:t>
            </w:r>
          </w:p>
        </w:tc>
        <w:tc>
          <w:tcPr>
            <w:tcW w:w="1873" w:type="dxa"/>
            <w:gridSpan w:val="2"/>
            <w:vAlign w:val="center"/>
          </w:tcPr>
          <w:p>
            <w:pPr>
              <w:spacing w:line="360" w:lineRule="auto"/>
              <w:jc w:val="center"/>
              <w:rPr>
                <w:color w:val="auto"/>
                <w:spacing w:val="6"/>
                <w:sz w:val="24"/>
                <w:highlight w:val="none"/>
              </w:rPr>
            </w:pPr>
            <w:r>
              <w:rPr>
                <w:rFonts w:hint="eastAsia"/>
                <w:color w:val="auto"/>
                <w:sz w:val="24"/>
                <w:highlight w:val="none"/>
              </w:rPr>
              <w:t>215400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6" w:type="dxa"/>
            <w:gridSpan w:val="2"/>
            <w:vAlign w:val="center"/>
          </w:tcPr>
          <w:p>
            <w:pPr>
              <w:jc w:val="center"/>
              <w:rPr>
                <w:color w:val="auto"/>
                <w:spacing w:val="6"/>
                <w:sz w:val="24"/>
                <w:highlight w:val="none"/>
              </w:rPr>
            </w:pPr>
            <w:r>
              <w:rPr>
                <w:color w:val="auto"/>
                <w:spacing w:val="6"/>
                <w:sz w:val="24"/>
                <w:highlight w:val="none"/>
              </w:rPr>
              <w:t>建设地点</w:t>
            </w:r>
          </w:p>
        </w:tc>
        <w:tc>
          <w:tcPr>
            <w:tcW w:w="8589" w:type="dxa"/>
            <w:gridSpan w:val="8"/>
            <w:vAlign w:val="center"/>
          </w:tcPr>
          <w:p>
            <w:pPr>
              <w:spacing w:line="360" w:lineRule="auto"/>
              <w:jc w:val="center"/>
              <w:rPr>
                <w:color w:val="auto"/>
                <w:sz w:val="24"/>
                <w:highlight w:val="none"/>
              </w:rPr>
            </w:pPr>
            <w:r>
              <w:rPr>
                <w:rFonts w:hint="eastAsia"/>
                <w:color w:val="auto"/>
                <w:sz w:val="24"/>
                <w:highlight w:val="none"/>
              </w:rPr>
              <w:t>湘潭经济技术开发区湘望路以西，江南大道以东，白石西路以北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Align w:val="center"/>
          </w:tcPr>
          <w:p>
            <w:pPr>
              <w:jc w:val="center"/>
              <w:rPr>
                <w:color w:val="auto"/>
                <w:spacing w:val="6"/>
                <w:sz w:val="24"/>
                <w:highlight w:val="none"/>
              </w:rPr>
            </w:pPr>
            <w:r>
              <w:rPr>
                <w:color w:val="auto"/>
                <w:spacing w:val="6"/>
                <w:sz w:val="24"/>
                <w:highlight w:val="none"/>
              </w:rPr>
              <w:t>立项审批</w:t>
            </w:r>
          </w:p>
          <w:p>
            <w:pPr>
              <w:jc w:val="center"/>
              <w:rPr>
                <w:color w:val="auto"/>
                <w:spacing w:val="6"/>
                <w:sz w:val="24"/>
                <w:highlight w:val="none"/>
              </w:rPr>
            </w:pPr>
            <w:r>
              <w:rPr>
                <w:color w:val="auto"/>
                <w:spacing w:val="6"/>
                <w:sz w:val="24"/>
                <w:highlight w:val="none"/>
              </w:rPr>
              <w:t>部门</w:t>
            </w:r>
          </w:p>
        </w:tc>
        <w:tc>
          <w:tcPr>
            <w:tcW w:w="4151" w:type="dxa"/>
            <w:gridSpan w:val="3"/>
            <w:vAlign w:val="center"/>
          </w:tcPr>
          <w:p>
            <w:pPr>
              <w:jc w:val="center"/>
              <w:rPr>
                <w:color w:val="auto"/>
                <w:spacing w:val="6"/>
                <w:sz w:val="24"/>
                <w:highlight w:val="none"/>
              </w:rPr>
            </w:pPr>
            <w:r>
              <w:rPr>
                <w:rFonts w:hint="eastAsia"/>
                <w:color w:val="auto"/>
                <w:spacing w:val="6"/>
                <w:sz w:val="24"/>
                <w:highlight w:val="none"/>
              </w:rPr>
              <w:t>/</w:t>
            </w:r>
          </w:p>
        </w:tc>
        <w:tc>
          <w:tcPr>
            <w:tcW w:w="1476" w:type="dxa"/>
            <w:gridSpan w:val="3"/>
            <w:vAlign w:val="center"/>
          </w:tcPr>
          <w:p>
            <w:pPr>
              <w:jc w:val="center"/>
              <w:rPr>
                <w:color w:val="auto"/>
                <w:spacing w:val="6"/>
                <w:sz w:val="24"/>
                <w:highlight w:val="none"/>
              </w:rPr>
            </w:pPr>
            <w:r>
              <w:rPr>
                <w:color w:val="auto"/>
                <w:spacing w:val="6"/>
                <w:sz w:val="24"/>
                <w:highlight w:val="none"/>
              </w:rPr>
              <w:t>批准文号</w:t>
            </w:r>
          </w:p>
        </w:tc>
        <w:tc>
          <w:tcPr>
            <w:tcW w:w="2968" w:type="dxa"/>
            <w:gridSpan w:val="3"/>
            <w:tcBorders>
              <w:bottom w:val="single" w:color="auto" w:sz="4" w:space="0"/>
            </w:tcBorders>
            <w:vAlign w:val="center"/>
          </w:tcPr>
          <w:p>
            <w:pPr>
              <w:jc w:val="center"/>
              <w:rPr>
                <w:color w:val="auto"/>
                <w:spacing w:val="6"/>
                <w:sz w:val="24"/>
                <w:highlight w:val="none"/>
              </w:rPr>
            </w:pPr>
            <w:r>
              <w:rPr>
                <w:rFonts w:hint="eastAsia"/>
                <w:color w:val="auto"/>
                <w:spacing w:val="6"/>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Align w:val="center"/>
          </w:tcPr>
          <w:p>
            <w:pPr>
              <w:jc w:val="center"/>
              <w:rPr>
                <w:color w:val="auto"/>
                <w:spacing w:val="6"/>
                <w:sz w:val="24"/>
                <w:highlight w:val="none"/>
              </w:rPr>
            </w:pPr>
            <w:r>
              <w:rPr>
                <w:color w:val="auto"/>
                <w:spacing w:val="6"/>
                <w:sz w:val="24"/>
                <w:highlight w:val="none"/>
              </w:rPr>
              <w:t>建 设 性 质</w:t>
            </w:r>
          </w:p>
        </w:tc>
        <w:tc>
          <w:tcPr>
            <w:tcW w:w="4151" w:type="dxa"/>
            <w:gridSpan w:val="3"/>
            <w:vAlign w:val="center"/>
          </w:tcPr>
          <w:p>
            <w:pPr>
              <w:jc w:val="center"/>
              <w:rPr>
                <w:color w:val="auto"/>
                <w:spacing w:val="6"/>
                <w:sz w:val="24"/>
                <w:highlight w:val="none"/>
              </w:rPr>
            </w:pPr>
            <w:r>
              <w:rPr>
                <w:rFonts w:hint="eastAsia"/>
                <w:snapToGrid w:val="0"/>
                <w:color w:val="auto"/>
                <w:szCs w:val="21"/>
                <w:highlight w:val="none"/>
              </w:rPr>
              <w:t>■</w:t>
            </w:r>
            <w:r>
              <w:rPr>
                <w:color w:val="auto"/>
                <w:sz w:val="24"/>
                <w:highlight w:val="none"/>
              </w:rPr>
              <w:t xml:space="preserve">新建 </w:t>
            </w:r>
            <w:r>
              <w:rPr>
                <w:rFonts w:hint="eastAsia"/>
                <w:color w:val="auto"/>
                <w:szCs w:val="21"/>
                <w:highlight w:val="none"/>
              </w:rPr>
              <w:t>□</w:t>
            </w:r>
            <w:r>
              <w:rPr>
                <w:color w:val="auto"/>
                <w:sz w:val="24"/>
                <w:highlight w:val="none"/>
              </w:rPr>
              <w:t xml:space="preserve">改扩建 </w:t>
            </w:r>
            <w:r>
              <w:rPr>
                <w:rFonts w:hint="eastAsia"/>
                <w:color w:val="auto"/>
                <w:szCs w:val="21"/>
                <w:highlight w:val="none"/>
              </w:rPr>
              <w:t>□</w:t>
            </w:r>
            <w:r>
              <w:rPr>
                <w:color w:val="auto"/>
                <w:sz w:val="24"/>
                <w:highlight w:val="none"/>
              </w:rPr>
              <w:t>技改</w:t>
            </w:r>
          </w:p>
        </w:tc>
        <w:tc>
          <w:tcPr>
            <w:tcW w:w="1476" w:type="dxa"/>
            <w:gridSpan w:val="3"/>
            <w:vAlign w:val="center"/>
          </w:tcPr>
          <w:p>
            <w:pPr>
              <w:rPr>
                <w:color w:val="auto"/>
                <w:spacing w:val="6"/>
                <w:sz w:val="24"/>
                <w:highlight w:val="none"/>
              </w:rPr>
            </w:pPr>
            <w:r>
              <w:rPr>
                <w:color w:val="auto"/>
                <w:spacing w:val="6"/>
                <w:sz w:val="24"/>
                <w:highlight w:val="none"/>
              </w:rPr>
              <w:t>行业类别及代码</w:t>
            </w:r>
          </w:p>
        </w:tc>
        <w:tc>
          <w:tcPr>
            <w:tcW w:w="2968" w:type="dxa"/>
            <w:gridSpan w:val="3"/>
            <w:vAlign w:val="center"/>
          </w:tcPr>
          <w:p>
            <w:pPr>
              <w:rPr>
                <w:color w:val="auto"/>
                <w:spacing w:val="6"/>
                <w:sz w:val="24"/>
                <w:highlight w:val="none"/>
              </w:rPr>
            </w:pPr>
            <w:r>
              <w:rPr>
                <w:rFonts w:hint="eastAsia"/>
                <w:color w:val="auto"/>
                <w:spacing w:val="6"/>
                <w:sz w:val="24"/>
                <w:highlight w:val="none"/>
              </w:rPr>
              <w:t>C3660  汽车零部件及配件制造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Align w:val="center"/>
          </w:tcPr>
          <w:p>
            <w:pPr>
              <w:jc w:val="center"/>
              <w:rPr>
                <w:color w:val="auto"/>
                <w:spacing w:val="6"/>
                <w:sz w:val="24"/>
                <w:highlight w:val="none"/>
              </w:rPr>
            </w:pPr>
            <w:r>
              <w:rPr>
                <w:color w:val="auto"/>
                <w:spacing w:val="6"/>
                <w:sz w:val="24"/>
                <w:highlight w:val="none"/>
              </w:rPr>
              <w:t>占地面积</w:t>
            </w:r>
          </w:p>
          <w:p>
            <w:pPr>
              <w:jc w:val="center"/>
              <w:rPr>
                <w:color w:val="auto"/>
                <w:spacing w:val="6"/>
                <w:sz w:val="24"/>
                <w:highlight w:val="none"/>
              </w:rPr>
            </w:pPr>
            <w:r>
              <w:rPr>
                <w:color w:val="auto"/>
                <w:spacing w:val="6"/>
                <w:sz w:val="24"/>
                <w:highlight w:val="none"/>
              </w:rPr>
              <w:t>(平方米)</w:t>
            </w:r>
          </w:p>
        </w:tc>
        <w:tc>
          <w:tcPr>
            <w:tcW w:w="4151" w:type="dxa"/>
            <w:gridSpan w:val="3"/>
            <w:vAlign w:val="center"/>
          </w:tcPr>
          <w:p>
            <w:pPr>
              <w:jc w:val="center"/>
              <w:rPr>
                <w:color w:val="auto"/>
                <w:spacing w:val="6"/>
                <w:sz w:val="24"/>
                <w:highlight w:val="none"/>
              </w:rPr>
            </w:pPr>
            <w:r>
              <w:rPr>
                <w:rFonts w:hint="eastAsia"/>
                <w:color w:val="auto"/>
                <w:spacing w:val="6"/>
                <w:sz w:val="24"/>
                <w:highlight w:val="none"/>
              </w:rPr>
              <w:t>124606.1</w:t>
            </w:r>
          </w:p>
        </w:tc>
        <w:tc>
          <w:tcPr>
            <w:tcW w:w="1476" w:type="dxa"/>
            <w:gridSpan w:val="3"/>
            <w:vAlign w:val="center"/>
          </w:tcPr>
          <w:p>
            <w:pPr>
              <w:jc w:val="center"/>
              <w:rPr>
                <w:color w:val="auto"/>
                <w:spacing w:val="6"/>
                <w:sz w:val="24"/>
                <w:highlight w:val="none"/>
              </w:rPr>
            </w:pPr>
            <w:r>
              <w:rPr>
                <w:color w:val="auto"/>
                <w:spacing w:val="6"/>
                <w:sz w:val="24"/>
                <w:highlight w:val="none"/>
              </w:rPr>
              <w:t>绿化面积</w:t>
            </w:r>
          </w:p>
          <w:p>
            <w:pPr>
              <w:jc w:val="center"/>
              <w:rPr>
                <w:color w:val="auto"/>
                <w:spacing w:val="6"/>
                <w:sz w:val="24"/>
                <w:highlight w:val="none"/>
              </w:rPr>
            </w:pPr>
            <w:r>
              <w:rPr>
                <w:color w:val="auto"/>
                <w:spacing w:val="6"/>
                <w:sz w:val="24"/>
                <w:highlight w:val="none"/>
              </w:rPr>
              <w:t>(平方米)</w:t>
            </w:r>
          </w:p>
        </w:tc>
        <w:tc>
          <w:tcPr>
            <w:tcW w:w="2968" w:type="dxa"/>
            <w:gridSpan w:val="3"/>
            <w:vAlign w:val="center"/>
          </w:tcPr>
          <w:p>
            <w:pPr>
              <w:jc w:val="center"/>
              <w:rPr>
                <w:color w:val="auto"/>
                <w:spacing w:val="6"/>
                <w:sz w:val="24"/>
                <w:highlight w:val="none"/>
              </w:rPr>
            </w:pPr>
            <w:r>
              <w:rPr>
                <w:rFonts w:hint="eastAsia"/>
                <w:color w:val="auto"/>
                <w:spacing w:val="6"/>
                <w:sz w:val="24"/>
                <w:highlight w:val="none"/>
              </w:rPr>
              <w:t>15010.66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70" w:type="dxa"/>
            <w:vAlign w:val="center"/>
          </w:tcPr>
          <w:p>
            <w:pPr>
              <w:jc w:val="center"/>
              <w:rPr>
                <w:color w:val="auto"/>
                <w:spacing w:val="6"/>
                <w:sz w:val="24"/>
                <w:highlight w:val="none"/>
              </w:rPr>
            </w:pPr>
            <w:r>
              <w:rPr>
                <w:color w:val="auto"/>
                <w:spacing w:val="6"/>
                <w:sz w:val="24"/>
                <w:highlight w:val="none"/>
              </w:rPr>
              <w:t>总投资</w:t>
            </w:r>
          </w:p>
          <w:p>
            <w:pPr>
              <w:jc w:val="center"/>
              <w:rPr>
                <w:color w:val="auto"/>
                <w:spacing w:val="6"/>
                <w:sz w:val="24"/>
                <w:highlight w:val="none"/>
              </w:rPr>
            </w:pPr>
            <w:r>
              <w:rPr>
                <w:color w:val="auto"/>
                <w:spacing w:val="6"/>
                <w:sz w:val="24"/>
                <w:highlight w:val="none"/>
              </w:rPr>
              <w:t>(万元)</w:t>
            </w:r>
          </w:p>
        </w:tc>
        <w:tc>
          <w:tcPr>
            <w:tcW w:w="2344" w:type="dxa"/>
            <w:gridSpan w:val="2"/>
            <w:vAlign w:val="center"/>
          </w:tcPr>
          <w:p>
            <w:pPr>
              <w:jc w:val="center"/>
              <w:rPr>
                <w:color w:val="auto"/>
                <w:spacing w:val="6"/>
                <w:sz w:val="24"/>
                <w:highlight w:val="none"/>
              </w:rPr>
            </w:pPr>
            <w:r>
              <w:rPr>
                <w:rFonts w:hint="eastAsia"/>
                <w:color w:val="auto"/>
                <w:spacing w:val="6"/>
                <w:sz w:val="24"/>
                <w:highlight w:val="none"/>
              </w:rPr>
              <w:t>8000</w:t>
            </w:r>
          </w:p>
        </w:tc>
        <w:tc>
          <w:tcPr>
            <w:tcW w:w="1824" w:type="dxa"/>
            <w:gridSpan w:val="2"/>
            <w:vAlign w:val="center"/>
          </w:tcPr>
          <w:p>
            <w:pPr>
              <w:jc w:val="center"/>
              <w:rPr>
                <w:color w:val="auto"/>
                <w:spacing w:val="6"/>
                <w:sz w:val="24"/>
                <w:highlight w:val="none"/>
              </w:rPr>
            </w:pPr>
            <w:r>
              <w:rPr>
                <w:color w:val="auto"/>
                <w:spacing w:val="6"/>
                <w:sz w:val="24"/>
                <w:highlight w:val="none"/>
              </w:rPr>
              <w:t>其中：环保投资(万元)</w:t>
            </w:r>
          </w:p>
        </w:tc>
        <w:tc>
          <w:tcPr>
            <w:tcW w:w="1459" w:type="dxa"/>
            <w:gridSpan w:val="2"/>
            <w:vAlign w:val="center"/>
          </w:tcPr>
          <w:p>
            <w:pPr>
              <w:jc w:val="center"/>
              <w:rPr>
                <w:color w:val="auto"/>
                <w:spacing w:val="6"/>
                <w:sz w:val="24"/>
                <w:highlight w:val="none"/>
              </w:rPr>
            </w:pPr>
            <w:r>
              <w:rPr>
                <w:rFonts w:hint="eastAsia"/>
                <w:color w:val="auto"/>
                <w:spacing w:val="6"/>
                <w:sz w:val="24"/>
                <w:highlight w:val="none"/>
              </w:rPr>
              <w:t>167</w:t>
            </w:r>
          </w:p>
        </w:tc>
        <w:tc>
          <w:tcPr>
            <w:tcW w:w="1691" w:type="dxa"/>
            <w:gridSpan w:val="2"/>
            <w:vAlign w:val="center"/>
          </w:tcPr>
          <w:p>
            <w:pPr>
              <w:jc w:val="center"/>
              <w:rPr>
                <w:color w:val="auto"/>
                <w:spacing w:val="6"/>
                <w:sz w:val="24"/>
                <w:highlight w:val="none"/>
              </w:rPr>
            </w:pPr>
            <w:r>
              <w:rPr>
                <w:color w:val="auto"/>
                <w:spacing w:val="6"/>
                <w:sz w:val="24"/>
                <w:highlight w:val="none"/>
              </w:rPr>
              <w:t>环保投资占总投资比例</w:t>
            </w:r>
          </w:p>
        </w:tc>
        <w:tc>
          <w:tcPr>
            <w:tcW w:w="1277" w:type="dxa"/>
            <w:vAlign w:val="center"/>
          </w:tcPr>
          <w:p>
            <w:pPr>
              <w:jc w:val="center"/>
              <w:rPr>
                <w:color w:val="auto"/>
                <w:spacing w:val="6"/>
                <w:sz w:val="24"/>
                <w:highlight w:val="none"/>
              </w:rPr>
            </w:pPr>
            <w:r>
              <w:rPr>
                <w:rFonts w:hint="eastAsia"/>
                <w:color w:val="auto"/>
                <w:spacing w:val="6"/>
                <w:sz w:val="24"/>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65" w:type="dxa"/>
            <w:gridSpan w:val="10"/>
          </w:tcPr>
          <w:p>
            <w:pPr>
              <w:spacing w:afterLines="50" w:line="460" w:lineRule="exact"/>
              <w:jc w:val="left"/>
              <w:rPr>
                <w:rFonts w:ascii="宋体" w:hAnsi="宋体"/>
                <w:b/>
                <w:bCs/>
                <w:color w:val="auto"/>
                <w:spacing w:val="-8"/>
                <w:sz w:val="28"/>
                <w:szCs w:val="28"/>
                <w:highlight w:val="none"/>
              </w:rPr>
            </w:pPr>
            <w:r>
              <w:rPr>
                <w:rFonts w:ascii="宋体" w:hAnsi="宋体"/>
                <w:b/>
                <w:bCs/>
                <w:color w:val="auto"/>
                <w:spacing w:val="-8"/>
                <w:sz w:val="28"/>
                <w:szCs w:val="28"/>
                <w:highlight w:val="none"/>
              </w:rPr>
              <w:pict>
                <v:line id="_x0000_s1524" o:spid="_x0000_s1524" o:spt="20" style="position:absolute;left:0pt;margin-left:425.25pt;margin-top:335.1pt;height:0pt;width:0.05pt;z-index:251609088;mso-width-relative:page;mso-height-relative:page;" coordsize="21600,21600" o:allowincell="f">
                  <v:path arrowok="t"/>
                  <v:fill focussize="0,0"/>
                  <v:stroke/>
                  <v:imagedata o:title=""/>
                  <o:lock v:ext="edit"/>
                </v:line>
              </w:pict>
            </w:r>
            <w:r>
              <w:rPr>
                <w:rFonts w:hint="eastAsia" w:ascii="宋体" w:hAnsi="宋体"/>
                <w:b/>
                <w:bCs/>
                <w:color w:val="auto"/>
                <w:spacing w:val="-8"/>
                <w:sz w:val="28"/>
                <w:szCs w:val="28"/>
                <w:highlight w:val="none"/>
              </w:rPr>
              <w:t xml:space="preserve">1.1 </w:t>
            </w:r>
            <w:r>
              <w:rPr>
                <w:rFonts w:ascii="宋体" w:hAnsi="宋体"/>
                <w:b/>
                <w:bCs/>
                <w:color w:val="auto"/>
                <w:spacing w:val="-8"/>
                <w:sz w:val="28"/>
                <w:szCs w:val="28"/>
                <w:highlight w:val="none"/>
              </w:rPr>
              <w:t>工程内容及规模：</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1.1.</w:t>
            </w:r>
            <w:r>
              <w:rPr>
                <w:b/>
                <w:color w:val="auto"/>
                <w:spacing w:val="4"/>
                <w:sz w:val="24"/>
                <w:szCs w:val="24"/>
                <w:highlight w:val="none"/>
              </w:rPr>
              <w:t>1 项目</w:t>
            </w:r>
            <w:r>
              <w:rPr>
                <w:rFonts w:hint="eastAsia"/>
                <w:b/>
                <w:color w:val="auto"/>
                <w:spacing w:val="4"/>
                <w:sz w:val="24"/>
                <w:szCs w:val="24"/>
                <w:highlight w:val="none"/>
              </w:rPr>
              <w:t>由来</w:t>
            </w:r>
          </w:p>
          <w:p>
            <w:pPr>
              <w:spacing w:line="360" w:lineRule="auto"/>
              <w:ind w:firstLine="480" w:firstLineChars="200"/>
              <w:rPr>
                <w:color w:val="auto"/>
                <w:sz w:val="24"/>
                <w:highlight w:val="none"/>
              </w:rPr>
            </w:pPr>
            <w:r>
              <w:rPr>
                <w:rFonts w:hint="eastAsia"/>
                <w:color w:val="auto"/>
                <w:sz w:val="24"/>
                <w:highlight w:val="none"/>
              </w:rPr>
              <w:t>舍弗勒（湘潭）有限公司是由德国舍弗勒集团于2016年12月投资设立的外商独资企业，主要设计和生产各种轴承，汽车用模具和夹具，汽车驱动及其辅助装置关键零件、部件以及其它汽车零部件等。</w:t>
            </w:r>
          </w:p>
          <w:p>
            <w:pPr>
              <w:spacing w:line="360" w:lineRule="auto"/>
              <w:ind w:firstLine="480" w:firstLineChars="200"/>
              <w:rPr>
                <w:color w:val="auto"/>
                <w:sz w:val="24"/>
                <w:highlight w:val="none"/>
              </w:rPr>
            </w:pPr>
            <w:r>
              <w:rPr>
                <w:rFonts w:hint="eastAsia"/>
                <w:color w:val="auto"/>
                <w:sz w:val="24"/>
                <w:highlight w:val="none"/>
              </w:rPr>
              <w:t>2017年，舍弗勒（湘潭）有限公司拟在湖南省湘潭经济技术开发区湘望路以西，江南大道以东，白石西路以北地块投资建设“舍弗勒（湘潭）有限公司汽车零部件建设项目一期工程”。该项目拟以钢材为原料，采用冲压、热处理、磨削、清洗、注塑、装配等工艺生产汽车零部件。</w:t>
            </w:r>
            <w:r>
              <w:rPr>
                <w:rFonts w:hint="eastAsia"/>
                <w:b/>
                <w:color w:val="auto"/>
                <w:sz w:val="24"/>
                <w:highlight w:val="none"/>
              </w:rPr>
              <w:t>项目不涉及电镀、喷漆作业。</w:t>
            </w:r>
          </w:p>
          <w:p>
            <w:pPr>
              <w:spacing w:line="360" w:lineRule="auto"/>
              <w:ind w:firstLine="480" w:firstLineChars="200"/>
              <w:rPr>
                <w:color w:val="auto"/>
                <w:sz w:val="24"/>
                <w:highlight w:val="none"/>
              </w:rPr>
            </w:pPr>
            <w:r>
              <w:rPr>
                <w:color w:val="auto"/>
                <w:sz w:val="24"/>
                <w:highlight w:val="none"/>
              </w:rPr>
              <w:t>根据《中华人民共和国环境保护法》、国务院令第253号文《建设项目环境保护管理条例》等有关法律法规</w:t>
            </w:r>
            <w:r>
              <w:rPr>
                <w:rFonts w:hint="eastAsia"/>
                <w:color w:val="auto"/>
                <w:sz w:val="24"/>
                <w:highlight w:val="none"/>
              </w:rPr>
              <w:t>地方政策</w:t>
            </w:r>
            <w:r>
              <w:rPr>
                <w:color w:val="auto"/>
                <w:sz w:val="24"/>
                <w:highlight w:val="none"/>
              </w:rPr>
              <w:t>的要求，本项目需</w:t>
            </w:r>
            <w:r>
              <w:rPr>
                <w:rFonts w:hint="eastAsia"/>
                <w:color w:val="auto"/>
                <w:sz w:val="24"/>
                <w:highlight w:val="none"/>
              </w:rPr>
              <w:t>进行</w:t>
            </w:r>
            <w:r>
              <w:rPr>
                <w:color w:val="auto"/>
                <w:sz w:val="24"/>
                <w:highlight w:val="none"/>
              </w:rPr>
              <w:t>环境影响评价。</w:t>
            </w:r>
            <w:r>
              <w:rPr>
                <w:rFonts w:hint="eastAsia"/>
                <w:color w:val="auto"/>
                <w:sz w:val="24"/>
                <w:highlight w:val="none"/>
              </w:rPr>
              <w:t>因此，舍弗勒（湘潭）有限公司委托湖南天瑶环境技术有限公司承担本项目的环境影响评价工作（环评合同见附件1）。评价期间，课题组会同相关单位进行了现场踏勘、资料收集，对项目建设地点、现有基本情况、区域环境状况进行了调查，根据有关环保法规及建设项目环境影响评价技术导则要求编制了本项目环境影响报告表。</w:t>
            </w:r>
          </w:p>
          <w:p>
            <w:pPr>
              <w:spacing w:line="360" w:lineRule="auto"/>
              <w:ind w:firstLine="480" w:firstLineChars="200"/>
              <w:rPr>
                <w:b/>
                <w:color w:val="auto"/>
                <w:sz w:val="24"/>
                <w:highlight w:val="none"/>
              </w:rPr>
            </w:pPr>
            <w:r>
              <w:rPr>
                <w:rFonts w:hint="eastAsia"/>
                <w:color w:val="auto"/>
                <w:sz w:val="24"/>
                <w:highlight w:val="none"/>
              </w:rPr>
              <w:t>舍弗勒（湘潭）有限公司汽车零部件建设项目总占地面积318426.74m</w:t>
            </w:r>
            <w:r>
              <w:rPr>
                <w:rFonts w:hint="eastAsia"/>
                <w:color w:val="auto"/>
                <w:sz w:val="24"/>
                <w:highlight w:val="none"/>
                <w:vertAlign w:val="superscript"/>
              </w:rPr>
              <w:t>2</w:t>
            </w:r>
            <w:r>
              <w:rPr>
                <w:rFonts w:hint="eastAsia"/>
                <w:color w:val="auto"/>
                <w:sz w:val="24"/>
                <w:highlight w:val="none"/>
              </w:rPr>
              <w:t>，总建筑面积189749.3m</w:t>
            </w:r>
            <w:r>
              <w:rPr>
                <w:rFonts w:hint="eastAsia"/>
                <w:color w:val="auto"/>
                <w:sz w:val="24"/>
                <w:highlight w:val="none"/>
                <w:vertAlign w:val="superscript"/>
              </w:rPr>
              <w:t>2</w:t>
            </w:r>
            <w:r>
              <w:rPr>
                <w:rFonts w:hint="eastAsia"/>
                <w:color w:val="auto"/>
                <w:sz w:val="24"/>
                <w:highlight w:val="none"/>
              </w:rPr>
              <w:t>。其中一期工程占地面积124606.1m</w:t>
            </w:r>
            <w:r>
              <w:rPr>
                <w:rFonts w:hint="eastAsia"/>
                <w:color w:val="auto"/>
                <w:sz w:val="24"/>
                <w:highlight w:val="none"/>
                <w:vertAlign w:val="superscript"/>
              </w:rPr>
              <w:t>2</w:t>
            </w:r>
            <w:r>
              <w:rPr>
                <w:rFonts w:hint="eastAsia"/>
                <w:color w:val="auto"/>
                <w:sz w:val="24"/>
                <w:highlight w:val="none"/>
              </w:rPr>
              <w:t>，建筑面积67883.98m</w:t>
            </w:r>
            <w:r>
              <w:rPr>
                <w:rFonts w:hint="eastAsia"/>
                <w:color w:val="auto"/>
                <w:sz w:val="24"/>
                <w:highlight w:val="none"/>
                <w:vertAlign w:val="superscript"/>
              </w:rPr>
              <w:t>2</w:t>
            </w:r>
            <w:r>
              <w:rPr>
                <w:rFonts w:hint="eastAsia"/>
                <w:color w:val="auto"/>
                <w:sz w:val="24"/>
                <w:highlight w:val="none"/>
              </w:rPr>
              <w:t>。</w:t>
            </w:r>
            <w:r>
              <w:rPr>
                <w:rFonts w:hint="eastAsia"/>
                <w:b/>
                <w:color w:val="auto"/>
                <w:sz w:val="24"/>
                <w:highlight w:val="none"/>
              </w:rPr>
              <w:t>本报告主要针对一期工程建设内容进行环境影响评价。</w:t>
            </w: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1.</w:t>
            </w:r>
            <w:r>
              <w:rPr>
                <w:rFonts w:ascii="宋体" w:hAnsi="宋体"/>
                <w:b/>
                <w:bCs/>
                <w:color w:val="auto"/>
                <w:spacing w:val="-8"/>
                <w:sz w:val="28"/>
                <w:szCs w:val="28"/>
                <w:highlight w:val="none"/>
              </w:rPr>
              <w:t>2 建设项目概况</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1.</w:t>
            </w:r>
            <w:r>
              <w:rPr>
                <w:b/>
                <w:color w:val="auto"/>
                <w:spacing w:val="4"/>
                <w:sz w:val="24"/>
                <w:szCs w:val="24"/>
                <w:highlight w:val="none"/>
              </w:rPr>
              <w:t>2.1 建设项目名称、地点</w:t>
            </w:r>
            <w:r>
              <w:rPr>
                <w:rFonts w:hint="eastAsia"/>
                <w:b/>
                <w:color w:val="auto"/>
                <w:spacing w:val="4"/>
                <w:sz w:val="24"/>
                <w:szCs w:val="24"/>
                <w:highlight w:val="none"/>
              </w:rPr>
              <w:t>、</w:t>
            </w:r>
            <w:r>
              <w:rPr>
                <w:b/>
                <w:color w:val="auto"/>
                <w:spacing w:val="4"/>
                <w:sz w:val="24"/>
                <w:szCs w:val="24"/>
                <w:highlight w:val="none"/>
              </w:rPr>
              <w:t>性质</w:t>
            </w:r>
          </w:p>
          <w:p>
            <w:pPr>
              <w:spacing w:line="360" w:lineRule="auto"/>
              <w:ind w:firstLine="480" w:firstLineChars="200"/>
              <w:rPr>
                <w:color w:val="auto"/>
                <w:sz w:val="24"/>
                <w:highlight w:val="none"/>
              </w:rPr>
            </w:pPr>
            <w:r>
              <w:rPr>
                <w:color w:val="auto"/>
                <w:sz w:val="24"/>
                <w:highlight w:val="none"/>
              </w:rPr>
              <w:t>项目名称：</w:t>
            </w:r>
            <w:r>
              <w:rPr>
                <w:rFonts w:hint="eastAsia"/>
                <w:color w:val="auto"/>
                <w:sz w:val="24"/>
                <w:highlight w:val="none"/>
              </w:rPr>
              <w:t>舍弗勒（湘潭）有限公司汽车零部件建设项目一期工程</w:t>
            </w:r>
          </w:p>
          <w:p>
            <w:pPr>
              <w:spacing w:line="360" w:lineRule="auto"/>
              <w:ind w:firstLine="480" w:firstLineChars="200"/>
              <w:rPr>
                <w:color w:val="auto"/>
                <w:sz w:val="24"/>
                <w:highlight w:val="none"/>
              </w:rPr>
            </w:pPr>
            <w:r>
              <w:rPr>
                <w:rFonts w:hint="eastAsia"/>
                <w:color w:val="auto"/>
                <w:sz w:val="24"/>
                <w:highlight w:val="none"/>
              </w:rPr>
              <w:t>建设单位：舍弗勒（湘潭）有限公司</w:t>
            </w:r>
          </w:p>
          <w:p>
            <w:pPr>
              <w:spacing w:line="360" w:lineRule="auto"/>
              <w:ind w:firstLine="480" w:firstLineChars="200"/>
              <w:rPr>
                <w:color w:val="auto"/>
                <w:sz w:val="24"/>
                <w:highlight w:val="none"/>
              </w:rPr>
            </w:pPr>
            <w:r>
              <w:rPr>
                <w:rFonts w:hint="eastAsia"/>
                <w:color w:val="auto"/>
                <w:sz w:val="24"/>
                <w:highlight w:val="none"/>
              </w:rPr>
              <w:t>建设性质：新建</w:t>
            </w:r>
          </w:p>
          <w:p>
            <w:pPr>
              <w:spacing w:line="360" w:lineRule="auto"/>
              <w:ind w:firstLine="480" w:firstLineChars="200"/>
              <w:rPr>
                <w:color w:val="auto"/>
                <w:sz w:val="24"/>
                <w:highlight w:val="none"/>
              </w:rPr>
            </w:pPr>
            <w:r>
              <w:rPr>
                <w:color w:val="auto"/>
                <w:sz w:val="24"/>
                <w:highlight w:val="none"/>
              </w:rPr>
              <w:t>建设地点：</w:t>
            </w:r>
            <w:r>
              <w:rPr>
                <w:rFonts w:hint="eastAsia"/>
                <w:color w:val="auto"/>
                <w:sz w:val="24"/>
                <w:highlight w:val="none"/>
              </w:rPr>
              <w:t>湘潭经济技术开发区湘望路以西，江南大道以东，白石西路以北，具体位置见图1-1</w:t>
            </w:r>
          </w:p>
          <w:p>
            <w:pPr>
              <w:spacing w:line="360" w:lineRule="auto"/>
              <w:ind w:right="63" w:rightChars="30"/>
              <w:jc w:val="center"/>
              <w:rPr>
                <w:color w:val="auto"/>
                <w:sz w:val="24"/>
                <w:highlight w:val="none"/>
              </w:rPr>
            </w:pPr>
            <w:r>
              <w:rPr>
                <w:b/>
                <w:color w:val="auto"/>
                <w:sz w:val="24"/>
                <w:highlight w:val="none"/>
              </w:rPr>
              <w:pict>
                <v:shape id="_x0000_s3745" o:spid="_x0000_s3745" o:spt="202" type="#_x0000_t202" style="position:absolute;left:0pt;margin-left:323.05pt;margin-top:270.1pt;height:54pt;width:149.6pt;z-index:251704320;mso-width-relative:margin;mso-height-relative:margin;mso-height-percent:200;" fillcolor="#F2F2F2" filled="t" stroked="f" coordsize="21600,21600">
                  <v:path/>
                  <v:fill on="t" focussize="0,0"/>
                  <v:stroke on="f" joinstyle="miter"/>
                  <v:imagedata o:title=""/>
                  <o:lock v:ext="edit"/>
                  <v:textbox style="mso-fit-shape-to-text:t;">
                    <w:txbxContent>
                      <w:p>
                        <w:pPr>
                          <w:rPr>
                            <w:b/>
                          </w:rPr>
                        </w:pPr>
                        <w:r>
                          <w:rPr>
                            <w:rFonts w:hint="eastAsia"/>
                            <w:b/>
                          </w:rPr>
                          <w:t>图例：</w:t>
                        </w:r>
                      </w:p>
                      <w:p>
                        <w:pPr>
                          <w:rPr>
                            <w:b/>
                          </w:rPr>
                        </w:pPr>
                        <w:r>
                          <w:rPr>
                            <w:rFonts w:hint="eastAsia"/>
                            <w:b/>
                          </w:rPr>
                          <w:t xml:space="preserve">       整体工程范围</w:t>
                        </w:r>
                      </w:p>
                      <w:p>
                        <w:pPr>
                          <w:rPr>
                            <w:b/>
                          </w:rPr>
                        </w:pPr>
                        <w:r>
                          <w:rPr>
                            <w:rFonts w:hint="eastAsia"/>
                            <w:b/>
                          </w:rPr>
                          <w:t xml:space="preserve">       一期工程范围</w:t>
                        </w:r>
                      </w:p>
                    </w:txbxContent>
                  </v:textbox>
                </v:shape>
              </w:pict>
            </w:r>
            <w:r>
              <w:rPr>
                <w:color w:val="auto"/>
                <w:highlight w:val="none"/>
              </w:rPr>
              <w:pict>
                <v:shape id="_x0000_s3744" o:spid="_x0000_s3744" o:spt="32" type="#_x0000_t32" style="position:absolute;left:0pt;flip:y;margin-left:218.65pt;margin-top:130.3pt;height:14.3pt;width:69.55pt;z-index:251703296;mso-width-relative:page;mso-height-relative:page;" o:connectortype="straight" filled="f" coordsize="21600,21600">
                  <v:path arrowok="t"/>
                  <v:fill on="f" focussize="0,0"/>
                  <v:stroke weight="1.5pt" endarrow="block"/>
                  <v:imagedata o:title=""/>
                  <o:lock v:ext="edit"/>
                </v:shape>
              </w:pict>
            </w:r>
            <w:r>
              <w:rPr>
                <w:b/>
                <w:color w:val="auto"/>
                <w:sz w:val="24"/>
                <w:highlight w:val="none"/>
              </w:rPr>
              <w:drawing>
                <wp:anchor distT="0" distB="0" distL="114300" distR="114300" simplePos="0" relativeHeight="251707392" behindDoc="0" locked="0" layoutInCell="1" allowOverlap="1">
                  <wp:simplePos x="0" y="0"/>
                  <wp:positionH relativeFrom="column">
                    <wp:posOffset>3686810</wp:posOffset>
                  </wp:positionH>
                  <wp:positionV relativeFrom="paragraph">
                    <wp:posOffset>15875</wp:posOffset>
                  </wp:positionV>
                  <wp:extent cx="2326640" cy="1797050"/>
                  <wp:effectExtent l="19050" t="19050" r="16565" b="12755"/>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8"/>
                          <a:srcRect/>
                          <a:stretch>
                            <a:fillRect/>
                          </a:stretch>
                        </pic:blipFill>
                        <pic:spPr>
                          <a:xfrm>
                            <a:off x="0" y="0"/>
                            <a:ext cx="2326585" cy="1796995"/>
                          </a:xfrm>
                          <a:prstGeom prst="rect">
                            <a:avLst/>
                          </a:prstGeom>
                          <a:noFill/>
                          <a:ln w="19050">
                            <a:solidFill>
                              <a:schemeClr val="tx1"/>
                            </a:solidFill>
                            <a:miter lim="800000"/>
                            <a:headEnd/>
                            <a:tailEnd/>
                          </a:ln>
                        </pic:spPr>
                      </pic:pic>
                    </a:graphicData>
                  </a:graphic>
                </wp:anchor>
              </w:drawing>
            </w:r>
            <w:r>
              <w:rPr>
                <w:rFonts w:ascii="宋体" w:hAnsi="宋体"/>
                <w:b/>
                <w:bCs/>
                <w:color w:val="auto"/>
                <w:spacing w:val="-8"/>
                <w:sz w:val="28"/>
                <w:szCs w:val="28"/>
                <w:highlight w:val="none"/>
              </w:rPr>
              <w:pict>
                <v:rect id="_x0000_s3747" o:spid="_x0000_s3747" o:spt="1" style="position:absolute;left:0pt;margin-left:342.65pt;margin-top:308.9pt;height:10.35pt;width:9.8pt;z-index:251706368;mso-width-relative:page;mso-height-relative:page;" filled="f" stroked="t" coordsize="21600,21600">
                  <v:path/>
                  <v:fill on="f" focussize="0,0"/>
                  <v:stroke weight="1.5pt" color="#FF00FF"/>
                  <v:imagedata o:title=""/>
                  <o:lock v:ext="edit"/>
                </v:rect>
              </w:pict>
            </w:r>
            <w:r>
              <w:rPr>
                <w:b/>
                <w:color w:val="auto"/>
                <w:sz w:val="24"/>
                <w:highlight w:val="none"/>
              </w:rPr>
              <w:pict>
                <v:rect id="_x0000_s3746" o:spid="_x0000_s3746" o:spt="1" style="position:absolute;left:0pt;margin-left:342.65pt;margin-top:293.25pt;height:10.35pt;width:9.8pt;z-index:251705344;mso-width-relative:page;mso-height-relative:page;" filled="f" stroked="t" coordsize="21600,21600">
                  <v:path/>
                  <v:fill on="f" focussize="0,0"/>
                  <v:stroke weight="1.5pt" color="#FF0000"/>
                  <v:imagedata o:title=""/>
                  <o:lock v:ext="edit"/>
                </v:rect>
              </w:pict>
            </w:r>
            <w:r>
              <w:rPr>
                <w:color w:val="auto"/>
                <w:highlight w:val="none"/>
              </w:rPr>
              <w:pict>
                <v:shape id="_x0000_s3511" o:spid="_x0000_s3511" o:spt="62" type="#_x0000_t62" style="position:absolute;left:0pt;margin-left:86.2pt;margin-top:94.6pt;height:25.1pt;width:75.35pt;z-index:251701248;mso-width-relative:page;mso-height-relative:page;" coordsize="21600,21600" adj="32364,25903">
                  <v:path/>
                  <v:fill focussize="0,0"/>
                  <v:stroke joinstyle="miter"/>
                  <v:imagedata o:title=""/>
                  <o:lock v:ext="edit"/>
                  <v:textbox>
                    <w:txbxContent>
                      <w:p>
                        <w:pPr>
                          <w:rPr>
                            <w:b/>
                            <w:color w:val="FF0000"/>
                          </w:rPr>
                        </w:pPr>
                        <w:r>
                          <w:rPr>
                            <w:rFonts w:hint="eastAsia"/>
                            <w:b/>
                            <w:color w:val="FF0000"/>
                          </w:rPr>
                          <w:t>项目所在地</w:t>
                        </w:r>
                      </w:p>
                    </w:txbxContent>
                  </v:textbox>
                </v:shape>
              </w:pict>
            </w:r>
            <w:r>
              <w:rPr>
                <w:color w:val="auto"/>
                <w:highlight w:val="none"/>
              </w:rPr>
              <w:pict>
                <v:rect id="_x0000_s3506" o:spid="_x0000_s3506" o:spt="1" style="position:absolute;left:0pt;margin-left:186.45pt;margin-top:125.2pt;height:26.5pt;width:29.15pt;rotation:39932076f;z-index:251700224;mso-width-relative:page;mso-height-relative:page;" fillcolor="#FF0000" filled="t" coordsize="21600,21600">
                  <v:path/>
                  <v:fill on="t" focussize="0,0"/>
                  <v:stroke/>
                  <v:imagedata o:title=""/>
                  <o:lock v:ext="edit"/>
                </v:rect>
              </w:pict>
            </w:r>
            <w:r>
              <w:rPr>
                <w:color w:val="auto"/>
                <w:highlight w:val="none"/>
              </w:rPr>
              <w:drawing>
                <wp:anchor distT="0" distB="0" distL="114300" distR="114300" simplePos="0" relativeHeight="251686912" behindDoc="0" locked="0" layoutInCell="1" allowOverlap="1">
                  <wp:simplePos x="0" y="0"/>
                  <wp:positionH relativeFrom="column">
                    <wp:posOffset>405765</wp:posOffset>
                  </wp:positionH>
                  <wp:positionV relativeFrom="paragraph">
                    <wp:posOffset>36830</wp:posOffset>
                  </wp:positionV>
                  <wp:extent cx="468630" cy="557530"/>
                  <wp:effectExtent l="38100" t="19050" r="26670" b="13970"/>
                  <wp:wrapNone/>
                  <wp:docPr id="1652" name="图片 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 name="图片 1652"/>
                          <pic:cNvPicPr>
                            <a:picLocks noChangeAspect="1" noChangeArrowheads="1"/>
                          </pic:cNvPicPr>
                        </pic:nvPicPr>
                        <pic:blipFill>
                          <a:blip r:embed="rId19"/>
                          <a:srcRect/>
                          <a:stretch>
                            <a:fillRect/>
                          </a:stretch>
                        </pic:blipFill>
                        <pic:spPr>
                          <a:xfrm>
                            <a:off x="0" y="0"/>
                            <a:ext cx="468630" cy="557530"/>
                          </a:xfrm>
                          <a:prstGeom prst="rect">
                            <a:avLst/>
                          </a:prstGeom>
                          <a:noFill/>
                          <a:ln w="9525">
                            <a:solidFill>
                              <a:srgbClr val="000000"/>
                            </a:solidFill>
                            <a:miter lim="800000"/>
                            <a:headEnd/>
                            <a:tailEnd/>
                          </a:ln>
                        </pic:spPr>
                      </pic:pic>
                    </a:graphicData>
                  </a:graphic>
                </wp:anchor>
              </w:drawing>
            </w:r>
            <w:r>
              <w:rPr>
                <w:rFonts w:hint="eastAsia"/>
                <w:color w:val="auto"/>
                <w:sz w:val="24"/>
                <w:highlight w:val="none"/>
              </w:rPr>
              <w:drawing>
                <wp:inline distT="0" distB="0" distL="0" distR="0">
                  <wp:extent cx="5676900" cy="4105275"/>
                  <wp:effectExtent l="19050" t="19050" r="19050" b="285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a:srcRect t="955"/>
                          <a:stretch>
                            <a:fillRect/>
                          </a:stretch>
                        </pic:blipFill>
                        <pic:spPr>
                          <a:xfrm>
                            <a:off x="0" y="0"/>
                            <a:ext cx="5676900" cy="4105275"/>
                          </a:xfrm>
                          <a:prstGeom prst="rect">
                            <a:avLst/>
                          </a:prstGeom>
                          <a:noFill/>
                          <a:ln w="19050" cmpd="sng">
                            <a:solidFill>
                              <a:srgbClr val="000000"/>
                            </a:solidFill>
                            <a:miter lim="800000"/>
                            <a:headEnd/>
                            <a:tailEnd/>
                          </a:ln>
                          <a:effectLst/>
                        </pic:spPr>
                      </pic:pic>
                    </a:graphicData>
                  </a:graphic>
                </wp:inline>
              </w:drawing>
            </w:r>
          </w:p>
          <w:p>
            <w:pPr>
              <w:snapToGrid w:val="0"/>
              <w:spacing w:afterLines="50" w:line="360" w:lineRule="auto"/>
              <w:jc w:val="center"/>
              <w:rPr>
                <w:b/>
                <w:color w:val="auto"/>
                <w:sz w:val="24"/>
                <w:highlight w:val="none"/>
              </w:rPr>
            </w:pPr>
            <w:r>
              <w:rPr>
                <w:rFonts w:hint="eastAsia"/>
                <w:b/>
                <w:color w:val="auto"/>
                <w:sz w:val="24"/>
                <w:highlight w:val="none"/>
              </w:rPr>
              <w:t>图1-1  项目地理位置示意图</w:t>
            </w:r>
          </w:p>
          <w:p>
            <w:pPr>
              <w:spacing w:line="360" w:lineRule="auto"/>
              <w:ind w:firstLine="480" w:firstLineChars="200"/>
              <w:rPr>
                <w:bCs/>
                <w:color w:val="auto"/>
                <w:sz w:val="24"/>
                <w:highlight w:val="none"/>
              </w:rPr>
            </w:pPr>
            <w:r>
              <w:rPr>
                <w:bCs/>
                <w:color w:val="auto"/>
                <w:sz w:val="24"/>
                <w:highlight w:val="none"/>
              </w:rPr>
              <w:t>项目投资：</w:t>
            </w:r>
            <w:r>
              <w:rPr>
                <w:rFonts w:hint="eastAsia"/>
                <w:bCs/>
                <w:color w:val="auto"/>
                <w:sz w:val="24"/>
                <w:highlight w:val="none"/>
              </w:rPr>
              <w:t>总投资</w:t>
            </w:r>
            <w:r>
              <w:rPr>
                <w:rFonts w:hint="eastAsia"/>
                <w:color w:val="auto"/>
                <w:sz w:val="24"/>
                <w:highlight w:val="none"/>
              </w:rPr>
              <w:t>8000</w:t>
            </w:r>
            <w:r>
              <w:rPr>
                <w:color w:val="auto"/>
                <w:sz w:val="24"/>
                <w:highlight w:val="none"/>
              </w:rPr>
              <w:t>万元</w:t>
            </w:r>
          </w:p>
          <w:p>
            <w:pPr>
              <w:spacing w:line="360" w:lineRule="auto"/>
              <w:ind w:firstLine="480" w:firstLineChars="200"/>
              <w:rPr>
                <w:bCs/>
                <w:color w:val="auto"/>
                <w:sz w:val="24"/>
                <w:highlight w:val="none"/>
              </w:rPr>
            </w:pPr>
            <w:r>
              <w:rPr>
                <w:rFonts w:hint="eastAsia"/>
                <w:bCs/>
                <w:color w:val="auto"/>
                <w:sz w:val="24"/>
                <w:highlight w:val="none"/>
              </w:rPr>
              <w:t>劳动定员：项目劳动定员950人，全部在厂区内就餐，无人在厂区住宿</w:t>
            </w:r>
          </w:p>
          <w:p>
            <w:pPr>
              <w:spacing w:line="360" w:lineRule="auto"/>
              <w:ind w:firstLine="480" w:firstLineChars="200"/>
              <w:rPr>
                <w:bCs/>
                <w:color w:val="auto"/>
                <w:sz w:val="24"/>
                <w:highlight w:val="none"/>
              </w:rPr>
            </w:pPr>
            <w:r>
              <w:rPr>
                <w:rFonts w:hint="eastAsia"/>
                <w:bCs/>
                <w:color w:val="auto"/>
                <w:sz w:val="24"/>
                <w:highlight w:val="none"/>
              </w:rPr>
              <w:t>工作制度：年工作300天，每天工作3班，每班工作8小时</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1.</w:t>
            </w:r>
            <w:r>
              <w:rPr>
                <w:b/>
                <w:color w:val="auto"/>
                <w:spacing w:val="4"/>
                <w:sz w:val="24"/>
                <w:szCs w:val="24"/>
                <w:highlight w:val="none"/>
              </w:rPr>
              <w:t>2.</w:t>
            </w:r>
            <w:r>
              <w:rPr>
                <w:rFonts w:hint="eastAsia"/>
                <w:b/>
                <w:color w:val="auto"/>
                <w:spacing w:val="4"/>
                <w:sz w:val="24"/>
                <w:szCs w:val="24"/>
                <w:highlight w:val="none"/>
              </w:rPr>
              <w:t>2</w:t>
            </w:r>
            <w:r>
              <w:rPr>
                <w:b/>
                <w:color w:val="auto"/>
                <w:spacing w:val="4"/>
                <w:sz w:val="24"/>
                <w:szCs w:val="24"/>
                <w:highlight w:val="none"/>
              </w:rPr>
              <w:t xml:space="preserve"> </w:t>
            </w:r>
            <w:r>
              <w:rPr>
                <w:rFonts w:hint="eastAsia"/>
                <w:b/>
                <w:color w:val="auto"/>
                <w:spacing w:val="4"/>
                <w:sz w:val="24"/>
                <w:szCs w:val="24"/>
                <w:highlight w:val="none"/>
              </w:rPr>
              <w:t>建设内容及规模</w:t>
            </w:r>
          </w:p>
          <w:p>
            <w:pPr>
              <w:spacing w:line="360" w:lineRule="auto"/>
              <w:ind w:firstLine="480" w:firstLineChars="200"/>
              <w:rPr>
                <w:color w:val="auto"/>
                <w:sz w:val="24"/>
                <w:highlight w:val="none"/>
              </w:rPr>
            </w:pPr>
            <w:r>
              <w:rPr>
                <w:rFonts w:hint="eastAsia"/>
                <w:color w:val="auto"/>
                <w:sz w:val="24"/>
                <w:highlight w:val="none"/>
              </w:rPr>
              <w:t>（1）建设内容及规模</w:t>
            </w:r>
          </w:p>
          <w:p>
            <w:pPr>
              <w:spacing w:line="360" w:lineRule="auto"/>
              <w:ind w:firstLine="480" w:firstLineChars="200"/>
              <w:rPr>
                <w:color w:val="auto"/>
                <w:sz w:val="24"/>
                <w:highlight w:val="none"/>
              </w:rPr>
            </w:pPr>
            <w:r>
              <w:rPr>
                <w:rFonts w:hint="eastAsia"/>
                <w:color w:val="auto"/>
                <w:sz w:val="24"/>
                <w:highlight w:val="none"/>
              </w:rPr>
              <w:t>下表1-1为本项目主要技术指标。</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1-1</w:t>
            </w:r>
            <w:r>
              <w:rPr>
                <w:b/>
                <w:color w:val="auto"/>
                <w:sz w:val="24"/>
                <w:highlight w:val="none"/>
              </w:rPr>
              <w:t xml:space="preserve"> </w:t>
            </w:r>
            <w:r>
              <w:rPr>
                <w:rFonts w:hint="eastAsia"/>
                <w:b/>
                <w:color w:val="auto"/>
                <w:sz w:val="24"/>
                <w:highlight w:val="none"/>
              </w:rPr>
              <w:t xml:space="preserve"> 主要技术指标一览表</w:t>
            </w:r>
          </w:p>
          <w:tbl>
            <w:tblPr>
              <w:tblStyle w:val="29"/>
              <w:tblW w:w="9356"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978"/>
              <w:gridCol w:w="2915"/>
              <w:gridCol w:w="978"/>
              <w:gridCol w:w="1543"/>
              <w:gridCol w:w="294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978" w:type="dxa"/>
                  <w:vAlign w:val="center"/>
                </w:tcPr>
                <w:p>
                  <w:pPr>
                    <w:adjustRightInd w:val="0"/>
                    <w:jc w:val="center"/>
                    <w:rPr>
                      <w:bCs/>
                      <w:color w:val="auto"/>
                      <w:kern w:val="0"/>
                      <w:szCs w:val="21"/>
                      <w:highlight w:val="none"/>
                      <w:lang w:val="zh-CN"/>
                    </w:rPr>
                  </w:pPr>
                  <w:r>
                    <w:rPr>
                      <w:rFonts w:hint="eastAsia" w:hAnsi="宋体"/>
                      <w:bCs/>
                      <w:color w:val="auto"/>
                      <w:kern w:val="0"/>
                      <w:szCs w:val="21"/>
                      <w:highlight w:val="none"/>
                      <w:lang w:val="zh-CN"/>
                    </w:rPr>
                    <w:t>序号</w:t>
                  </w:r>
                </w:p>
              </w:tc>
              <w:tc>
                <w:tcPr>
                  <w:tcW w:w="2915" w:type="dxa"/>
                  <w:vAlign w:val="center"/>
                </w:tcPr>
                <w:p>
                  <w:pPr>
                    <w:adjustRightInd w:val="0"/>
                    <w:jc w:val="center"/>
                    <w:rPr>
                      <w:bCs/>
                      <w:color w:val="auto"/>
                      <w:kern w:val="0"/>
                      <w:szCs w:val="21"/>
                      <w:highlight w:val="none"/>
                      <w:lang w:val="zh-CN"/>
                    </w:rPr>
                  </w:pPr>
                  <w:r>
                    <w:rPr>
                      <w:rFonts w:hAnsi="宋体"/>
                      <w:bCs/>
                      <w:color w:val="auto"/>
                      <w:kern w:val="0"/>
                      <w:szCs w:val="21"/>
                      <w:highlight w:val="none"/>
                      <w:lang w:val="zh-CN"/>
                    </w:rPr>
                    <w:t>名称</w:t>
                  </w:r>
                </w:p>
              </w:tc>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单位</w:t>
                  </w:r>
                </w:p>
              </w:tc>
              <w:tc>
                <w:tcPr>
                  <w:tcW w:w="1543"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数量</w:t>
                  </w:r>
                </w:p>
              </w:tc>
              <w:tc>
                <w:tcPr>
                  <w:tcW w:w="2942"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1</w:t>
                  </w:r>
                </w:p>
              </w:tc>
              <w:tc>
                <w:tcPr>
                  <w:tcW w:w="2915"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用地面积</w:t>
                  </w:r>
                </w:p>
              </w:tc>
              <w:tc>
                <w:tcPr>
                  <w:tcW w:w="978" w:type="dxa"/>
                  <w:vAlign w:val="center"/>
                </w:tcPr>
                <w:p>
                  <w:pPr>
                    <w:adjustRightInd w:val="0"/>
                    <w:jc w:val="center"/>
                    <w:rPr>
                      <w:rFonts w:hAnsi="宋体"/>
                      <w:bCs/>
                      <w:color w:val="auto"/>
                      <w:kern w:val="0"/>
                      <w:szCs w:val="21"/>
                      <w:highlight w:val="none"/>
                      <w:vertAlign w:val="superscript"/>
                      <w:lang w:val="zh-CN"/>
                    </w:rPr>
                  </w:pPr>
                  <w:r>
                    <w:rPr>
                      <w:rFonts w:hint="eastAsia" w:hAnsi="宋体"/>
                      <w:bCs/>
                      <w:color w:val="auto"/>
                      <w:kern w:val="0"/>
                      <w:szCs w:val="21"/>
                      <w:highlight w:val="none"/>
                      <w:lang w:val="zh-CN"/>
                    </w:rPr>
                    <w:t>m</w:t>
                  </w:r>
                  <w:r>
                    <w:rPr>
                      <w:rFonts w:hint="eastAsia" w:hAnsi="宋体"/>
                      <w:bCs/>
                      <w:color w:val="auto"/>
                      <w:kern w:val="0"/>
                      <w:szCs w:val="21"/>
                      <w:highlight w:val="none"/>
                      <w:vertAlign w:val="superscript"/>
                      <w:lang w:val="zh-CN"/>
                    </w:rPr>
                    <w:t>2</w:t>
                  </w:r>
                </w:p>
              </w:tc>
              <w:tc>
                <w:tcPr>
                  <w:tcW w:w="1543"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124606.1</w:t>
                  </w:r>
                </w:p>
              </w:tc>
              <w:tc>
                <w:tcPr>
                  <w:tcW w:w="2942"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2</w:t>
                  </w:r>
                </w:p>
              </w:tc>
              <w:tc>
                <w:tcPr>
                  <w:tcW w:w="2915"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总建筑基底面积</w:t>
                  </w:r>
                </w:p>
              </w:tc>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m</w:t>
                  </w:r>
                  <w:r>
                    <w:rPr>
                      <w:rFonts w:hint="eastAsia" w:hAnsi="宋体"/>
                      <w:bCs/>
                      <w:color w:val="auto"/>
                      <w:kern w:val="0"/>
                      <w:szCs w:val="21"/>
                      <w:highlight w:val="none"/>
                      <w:vertAlign w:val="superscript"/>
                      <w:lang w:val="zh-CN"/>
                    </w:rPr>
                    <w:t>2</w:t>
                  </w:r>
                </w:p>
              </w:tc>
              <w:tc>
                <w:tcPr>
                  <w:tcW w:w="1543"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51692.97</w:t>
                  </w:r>
                </w:p>
              </w:tc>
              <w:tc>
                <w:tcPr>
                  <w:tcW w:w="2942"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3</w:t>
                  </w:r>
                </w:p>
              </w:tc>
              <w:tc>
                <w:tcPr>
                  <w:tcW w:w="2915"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总建筑面积</w:t>
                  </w:r>
                </w:p>
              </w:tc>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m</w:t>
                  </w:r>
                  <w:r>
                    <w:rPr>
                      <w:rFonts w:hint="eastAsia" w:hAnsi="宋体"/>
                      <w:bCs/>
                      <w:color w:val="auto"/>
                      <w:kern w:val="0"/>
                      <w:szCs w:val="21"/>
                      <w:highlight w:val="none"/>
                      <w:vertAlign w:val="superscript"/>
                      <w:lang w:val="zh-CN"/>
                    </w:rPr>
                    <w:t>2</w:t>
                  </w:r>
                </w:p>
              </w:tc>
              <w:tc>
                <w:tcPr>
                  <w:tcW w:w="1543"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67883.98</w:t>
                  </w:r>
                </w:p>
              </w:tc>
              <w:tc>
                <w:tcPr>
                  <w:tcW w:w="2942"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建筑密度：41.49%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4</w:t>
                  </w:r>
                </w:p>
              </w:tc>
              <w:tc>
                <w:tcPr>
                  <w:tcW w:w="2915"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绿地面积</w:t>
                  </w:r>
                </w:p>
              </w:tc>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m</w:t>
                  </w:r>
                  <w:r>
                    <w:rPr>
                      <w:rFonts w:hint="eastAsia" w:hAnsi="宋体"/>
                      <w:bCs/>
                      <w:color w:val="auto"/>
                      <w:kern w:val="0"/>
                      <w:szCs w:val="21"/>
                      <w:highlight w:val="none"/>
                      <w:vertAlign w:val="superscript"/>
                      <w:lang w:val="zh-CN"/>
                    </w:rPr>
                    <w:t>2</w:t>
                  </w:r>
                </w:p>
              </w:tc>
              <w:tc>
                <w:tcPr>
                  <w:tcW w:w="1543"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15010.66</w:t>
                  </w:r>
                </w:p>
              </w:tc>
              <w:tc>
                <w:tcPr>
                  <w:tcW w:w="2942"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绿地率：12.05%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5</w:t>
                  </w:r>
                </w:p>
              </w:tc>
              <w:tc>
                <w:tcPr>
                  <w:tcW w:w="2915"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道路广场铺砌面积</w:t>
                  </w:r>
                </w:p>
              </w:tc>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m</w:t>
                  </w:r>
                  <w:r>
                    <w:rPr>
                      <w:rFonts w:hint="eastAsia" w:hAnsi="宋体"/>
                      <w:bCs/>
                      <w:color w:val="auto"/>
                      <w:kern w:val="0"/>
                      <w:szCs w:val="21"/>
                      <w:highlight w:val="none"/>
                      <w:vertAlign w:val="superscript"/>
                      <w:lang w:val="zh-CN"/>
                    </w:rPr>
                    <w:t>2</w:t>
                  </w:r>
                </w:p>
              </w:tc>
              <w:tc>
                <w:tcPr>
                  <w:tcW w:w="1543"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55973.05</w:t>
                  </w:r>
                </w:p>
              </w:tc>
              <w:tc>
                <w:tcPr>
                  <w:tcW w:w="2942"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6</w:t>
                  </w:r>
                </w:p>
              </w:tc>
              <w:tc>
                <w:tcPr>
                  <w:tcW w:w="2915"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停车位</w:t>
                  </w:r>
                </w:p>
              </w:tc>
              <w:tc>
                <w:tcPr>
                  <w:tcW w:w="9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个</w:t>
                  </w:r>
                </w:p>
              </w:tc>
              <w:tc>
                <w:tcPr>
                  <w:tcW w:w="1543"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158</w:t>
                  </w:r>
                </w:p>
              </w:tc>
              <w:tc>
                <w:tcPr>
                  <w:tcW w:w="2942"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w:t>
                  </w:r>
                </w:p>
              </w:tc>
            </w:tr>
          </w:tbl>
          <w:p>
            <w:pPr>
              <w:spacing w:line="360" w:lineRule="auto"/>
              <w:ind w:firstLine="480" w:firstLineChars="200"/>
              <w:rPr>
                <w:color w:val="auto"/>
                <w:sz w:val="24"/>
                <w:highlight w:val="none"/>
              </w:rPr>
            </w:pPr>
            <w:r>
              <w:rPr>
                <w:rFonts w:hint="eastAsia"/>
                <w:bCs/>
                <w:color w:val="auto"/>
                <w:sz w:val="24"/>
                <w:highlight w:val="none"/>
              </w:rPr>
              <w:t>本项目</w:t>
            </w:r>
            <w:r>
              <w:rPr>
                <w:rFonts w:hint="eastAsia"/>
                <w:color w:val="auto"/>
                <w:sz w:val="24"/>
                <w:highlight w:val="none"/>
              </w:rPr>
              <w:t>主要建构筑物呈倒“L”型分布，厂区北部自西向东依次布置为110kv变电站、废品库、西动力站、氨气瓶库、丙烷站，丙烷站以南自西向东布置为生产厂房（一期）、物流中心（一期）、办公中心。</w:t>
            </w:r>
            <w:r>
              <w:rPr>
                <w:rFonts w:hint="eastAsia"/>
                <w:bCs/>
                <w:color w:val="auto"/>
                <w:sz w:val="24"/>
                <w:highlight w:val="none"/>
              </w:rPr>
              <w:t>具体情况见附图3  项目平面布局示意图。</w:t>
            </w:r>
          </w:p>
          <w:p>
            <w:pPr>
              <w:spacing w:line="360" w:lineRule="auto"/>
              <w:ind w:firstLine="480" w:firstLineChars="200"/>
              <w:rPr>
                <w:bCs/>
                <w:color w:val="auto"/>
                <w:sz w:val="24"/>
                <w:highlight w:val="none"/>
              </w:rPr>
            </w:pPr>
            <w:r>
              <w:rPr>
                <w:rFonts w:hint="eastAsia"/>
                <w:bCs/>
                <w:color w:val="auto"/>
                <w:sz w:val="24"/>
                <w:highlight w:val="none"/>
              </w:rPr>
              <w:t>下表1-2为本项目主要建设内容情况</w:t>
            </w:r>
            <w:r>
              <w:rPr>
                <w:bCs/>
                <w:color w:val="auto"/>
                <w:sz w:val="24"/>
                <w:highlight w:val="none"/>
              </w:rPr>
              <w:t>：</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1-2</w:t>
            </w:r>
            <w:r>
              <w:rPr>
                <w:b/>
                <w:color w:val="auto"/>
                <w:sz w:val="24"/>
                <w:highlight w:val="none"/>
              </w:rPr>
              <w:t xml:space="preserve"> </w:t>
            </w:r>
            <w:r>
              <w:rPr>
                <w:rFonts w:hint="eastAsia"/>
                <w:b/>
                <w:color w:val="auto"/>
                <w:sz w:val="24"/>
                <w:highlight w:val="none"/>
              </w:rPr>
              <w:t xml:space="preserve"> 主要建设内容一览表</w:t>
            </w:r>
          </w:p>
          <w:tbl>
            <w:tblPr>
              <w:tblStyle w:val="29"/>
              <w:tblW w:w="9356"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281"/>
              <w:gridCol w:w="1478"/>
              <w:gridCol w:w="2918"/>
              <w:gridCol w:w="367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Align w:val="center"/>
                </w:tcPr>
                <w:p>
                  <w:pPr>
                    <w:adjustRightInd w:val="0"/>
                    <w:jc w:val="center"/>
                    <w:rPr>
                      <w:bCs/>
                      <w:color w:val="auto"/>
                      <w:kern w:val="0"/>
                      <w:szCs w:val="21"/>
                      <w:highlight w:val="none"/>
                      <w:lang w:val="zh-CN"/>
                    </w:rPr>
                  </w:pPr>
                  <w:r>
                    <w:rPr>
                      <w:rFonts w:hAnsi="宋体"/>
                      <w:bCs/>
                      <w:color w:val="auto"/>
                      <w:kern w:val="0"/>
                      <w:szCs w:val="21"/>
                      <w:highlight w:val="none"/>
                      <w:lang w:val="zh-CN"/>
                    </w:rPr>
                    <w:t>工程类别</w:t>
                  </w:r>
                </w:p>
              </w:tc>
              <w:tc>
                <w:tcPr>
                  <w:tcW w:w="1478" w:type="dxa"/>
                  <w:vAlign w:val="center"/>
                </w:tcPr>
                <w:p>
                  <w:pPr>
                    <w:adjustRightInd w:val="0"/>
                    <w:jc w:val="center"/>
                    <w:rPr>
                      <w:bCs/>
                      <w:color w:val="auto"/>
                      <w:kern w:val="0"/>
                      <w:szCs w:val="21"/>
                      <w:highlight w:val="none"/>
                      <w:lang w:val="zh-CN"/>
                    </w:rPr>
                  </w:pPr>
                  <w:r>
                    <w:rPr>
                      <w:rFonts w:hAnsi="宋体"/>
                      <w:bCs/>
                      <w:color w:val="auto"/>
                      <w:kern w:val="0"/>
                      <w:szCs w:val="21"/>
                      <w:highlight w:val="none"/>
                      <w:lang w:val="zh-CN"/>
                    </w:rPr>
                    <w:t>名称</w:t>
                  </w:r>
                </w:p>
              </w:tc>
              <w:tc>
                <w:tcPr>
                  <w:tcW w:w="2918" w:type="dxa"/>
                  <w:vAlign w:val="center"/>
                </w:tcPr>
                <w:p>
                  <w:pPr>
                    <w:adjustRightInd w:val="0"/>
                    <w:jc w:val="center"/>
                    <w:rPr>
                      <w:bCs/>
                      <w:color w:val="auto"/>
                      <w:kern w:val="0"/>
                      <w:szCs w:val="21"/>
                      <w:highlight w:val="none"/>
                      <w:lang w:val="zh-CN"/>
                    </w:rPr>
                  </w:pPr>
                  <w:r>
                    <w:rPr>
                      <w:rFonts w:hint="eastAsia" w:hAnsi="宋体"/>
                      <w:bCs/>
                      <w:color w:val="auto"/>
                      <w:kern w:val="0"/>
                      <w:szCs w:val="21"/>
                      <w:highlight w:val="none"/>
                      <w:lang w:val="zh-CN"/>
                    </w:rPr>
                    <w:t>建设内容</w:t>
                  </w:r>
                </w:p>
              </w:tc>
              <w:tc>
                <w:tcPr>
                  <w:tcW w:w="3679" w:type="dxa"/>
                  <w:vAlign w:val="center"/>
                </w:tcPr>
                <w:p>
                  <w:pPr>
                    <w:adjustRightInd w:val="0"/>
                    <w:jc w:val="center"/>
                    <w:rPr>
                      <w:bCs/>
                      <w:color w:val="auto"/>
                      <w:kern w:val="0"/>
                      <w:szCs w:val="21"/>
                      <w:highlight w:val="none"/>
                      <w:lang w:val="zh-CN"/>
                    </w:rPr>
                  </w:pPr>
                  <w:r>
                    <w:rPr>
                      <w:rFonts w:hAnsi="宋体"/>
                      <w:bCs/>
                      <w:color w:val="auto"/>
                      <w:kern w:val="0"/>
                      <w:szCs w:val="21"/>
                      <w:highlight w:val="none"/>
                      <w:lang w:val="zh-CN"/>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Align w:val="center"/>
                </w:tcPr>
                <w:p>
                  <w:pPr>
                    <w:adjustRightInd w:val="0"/>
                    <w:jc w:val="center"/>
                    <w:rPr>
                      <w:bCs/>
                      <w:color w:val="auto"/>
                      <w:kern w:val="0"/>
                      <w:szCs w:val="21"/>
                      <w:highlight w:val="none"/>
                      <w:lang w:val="zh-CN"/>
                    </w:rPr>
                  </w:pPr>
                  <w:r>
                    <w:rPr>
                      <w:rFonts w:hAnsi="宋体"/>
                      <w:bCs/>
                      <w:color w:val="auto"/>
                      <w:kern w:val="0"/>
                      <w:szCs w:val="21"/>
                      <w:highlight w:val="none"/>
                      <w:lang w:val="zh-CN"/>
                    </w:rPr>
                    <w:t>主体工程</w:t>
                  </w: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生产厂房</w:t>
                  </w:r>
                </w:p>
                <w:p>
                  <w:pPr>
                    <w:adjustRightInd w:val="0"/>
                    <w:jc w:val="center"/>
                    <w:rPr>
                      <w:bCs/>
                      <w:color w:val="auto"/>
                      <w:kern w:val="0"/>
                      <w:szCs w:val="21"/>
                      <w:highlight w:val="none"/>
                      <w:lang w:val="zh-CN"/>
                    </w:rPr>
                  </w:pPr>
                  <w:r>
                    <w:rPr>
                      <w:rFonts w:hint="eastAsia"/>
                      <w:bCs/>
                      <w:color w:val="auto"/>
                      <w:kern w:val="0"/>
                      <w:szCs w:val="21"/>
                      <w:highlight w:val="none"/>
                      <w:lang w:val="zh-CN"/>
                    </w:rPr>
                    <w:t>（一期）</w:t>
                  </w:r>
                </w:p>
              </w:tc>
              <w:tc>
                <w:tcPr>
                  <w:tcW w:w="2918"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占地面积26412.79m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，建筑面积32100.29m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，建筑高度11.5m</w:t>
                  </w:r>
                </w:p>
              </w:tc>
              <w:tc>
                <w:tcPr>
                  <w:tcW w:w="3679" w:type="dxa"/>
                  <w:vAlign w:val="center"/>
                </w:tcPr>
                <w:p>
                  <w:pPr>
                    <w:adjustRightInd w:val="0"/>
                    <w:jc w:val="left"/>
                    <w:rPr>
                      <w:b/>
                      <w:bCs/>
                      <w:color w:val="auto"/>
                      <w:kern w:val="0"/>
                      <w:szCs w:val="21"/>
                      <w:highlight w:val="none"/>
                      <w:lang w:val="zh-CN"/>
                    </w:rPr>
                  </w:pPr>
                  <w:r>
                    <w:rPr>
                      <w:rFonts w:hint="eastAsia"/>
                      <w:b/>
                      <w:bCs/>
                      <w:color w:val="auto"/>
                      <w:kern w:val="0"/>
                      <w:szCs w:val="21"/>
                      <w:highlight w:val="none"/>
                      <w:lang w:val="zh-CN"/>
                    </w:rPr>
                    <w:t>主要用于各类产品生产加工。</w:t>
                  </w:r>
                </w:p>
                <w:p>
                  <w:pPr>
                    <w:adjustRightInd w:val="0"/>
                    <w:jc w:val="left"/>
                    <w:rPr>
                      <w:bCs/>
                      <w:color w:val="auto"/>
                      <w:kern w:val="0"/>
                      <w:szCs w:val="21"/>
                      <w:highlight w:val="none"/>
                      <w:lang w:val="zh-CN"/>
                    </w:rPr>
                  </w:pPr>
                  <w:r>
                    <w:rPr>
                      <w:rFonts w:hint="eastAsia"/>
                      <w:bCs/>
                      <w:color w:val="auto"/>
                      <w:kern w:val="0"/>
                      <w:szCs w:val="21"/>
                      <w:highlight w:val="none"/>
                      <w:lang w:val="zh-CN"/>
                    </w:rPr>
                    <w:t>包括滚子摇臂、可变滚子摇臂、张紧器、轮毂轴承、悬架轴承、热管理模块的生产加工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辅助工程</w:t>
                  </w: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西动力站</w:t>
                  </w:r>
                </w:p>
              </w:tc>
              <w:tc>
                <w:tcPr>
                  <w:tcW w:w="2918" w:type="dxa"/>
                  <w:vAlign w:val="center"/>
                </w:tcPr>
                <w:p>
                  <w:pPr>
                    <w:adjustRightInd w:val="0"/>
                    <w:jc w:val="left"/>
                    <w:rPr>
                      <w:bCs/>
                      <w:color w:val="auto"/>
                      <w:kern w:val="0"/>
                      <w:szCs w:val="21"/>
                      <w:highlight w:val="none"/>
                      <w:vertAlign w:val="superscript"/>
                      <w:lang w:val="zh-CN"/>
                    </w:rPr>
                  </w:pPr>
                  <w:r>
                    <w:rPr>
                      <w:rFonts w:hint="eastAsia"/>
                      <w:bCs/>
                      <w:color w:val="auto"/>
                      <w:kern w:val="0"/>
                      <w:szCs w:val="21"/>
                      <w:highlight w:val="none"/>
                      <w:lang w:val="zh-CN"/>
                    </w:rPr>
                    <w:t>占地面积3888.00m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，建筑面积3888.00m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，建筑高度8.0m</w:t>
                  </w:r>
                </w:p>
              </w:tc>
              <w:tc>
                <w:tcPr>
                  <w:tcW w:w="3679" w:type="dxa"/>
                  <w:vAlign w:val="center"/>
                </w:tcPr>
                <w:p>
                  <w:pPr>
                    <w:adjustRightInd w:val="0"/>
                    <w:jc w:val="left"/>
                    <w:rPr>
                      <w:b/>
                      <w:bCs/>
                      <w:color w:val="auto"/>
                      <w:kern w:val="0"/>
                      <w:szCs w:val="21"/>
                      <w:highlight w:val="none"/>
                      <w:lang w:val="zh-CN"/>
                    </w:rPr>
                  </w:pPr>
                  <w:r>
                    <w:rPr>
                      <w:rFonts w:hint="eastAsia"/>
                      <w:bCs/>
                      <w:color w:val="auto"/>
                      <w:kern w:val="0"/>
                      <w:szCs w:val="21"/>
                      <w:highlight w:val="none"/>
                      <w:lang w:val="zh-CN"/>
                    </w:rPr>
                    <w:t>主要为产品生产提供原料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restart"/>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公用工程</w:t>
                  </w: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办公中心</w:t>
                  </w:r>
                </w:p>
              </w:tc>
              <w:tc>
                <w:tcPr>
                  <w:tcW w:w="2918" w:type="dxa"/>
                  <w:vAlign w:val="center"/>
                </w:tcPr>
                <w:p>
                  <w:pPr>
                    <w:adjustRightInd w:val="0"/>
                    <w:jc w:val="left"/>
                    <w:rPr>
                      <w:bCs/>
                      <w:color w:val="auto"/>
                      <w:kern w:val="0"/>
                      <w:szCs w:val="21"/>
                      <w:highlight w:val="none"/>
                      <w:vertAlign w:val="superscript"/>
                      <w:lang w:val="zh-CN"/>
                    </w:rPr>
                  </w:pPr>
                  <w:r>
                    <w:rPr>
                      <w:rFonts w:hint="eastAsia"/>
                      <w:bCs/>
                      <w:color w:val="auto"/>
                      <w:kern w:val="0"/>
                      <w:szCs w:val="21"/>
                      <w:highlight w:val="none"/>
                      <w:lang w:val="zh-CN"/>
                    </w:rPr>
                    <w:t>占地面积9623.56m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，建筑面积21147.31m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，建筑高度12.5m</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主要用于员工办公，并为员工提供餐饮服务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供水工程</w:t>
                  </w:r>
                </w:p>
              </w:tc>
              <w:tc>
                <w:tcPr>
                  <w:tcW w:w="2918"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从湘潭经济技术开发区供水管网接入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供电工程</w:t>
                  </w:r>
                </w:p>
              </w:tc>
              <w:tc>
                <w:tcPr>
                  <w:tcW w:w="2918"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从湘潭经济技术开发区供电系统接入，厂区建设110kv变电站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暖通系统</w:t>
                  </w:r>
                </w:p>
              </w:tc>
              <w:tc>
                <w:tcPr>
                  <w:tcW w:w="2918"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设置1套中央空调系统，为办公中心供热制冷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restart"/>
                  <w:vAlign w:val="center"/>
                </w:tcPr>
                <w:p>
                  <w:pPr>
                    <w:adjustRightInd w:val="0"/>
                    <w:jc w:val="center"/>
                    <w:rPr>
                      <w:bCs/>
                      <w:color w:val="auto"/>
                      <w:kern w:val="0"/>
                      <w:szCs w:val="21"/>
                      <w:highlight w:val="none"/>
                      <w:lang w:val="zh-CN"/>
                    </w:rPr>
                  </w:pPr>
                  <w:r>
                    <w:rPr>
                      <w:rFonts w:hint="eastAsia" w:hAnsi="宋体"/>
                      <w:bCs/>
                      <w:color w:val="auto"/>
                      <w:kern w:val="0"/>
                      <w:szCs w:val="21"/>
                      <w:highlight w:val="none"/>
                      <w:lang w:val="zh-CN"/>
                    </w:rPr>
                    <w:t>储运</w:t>
                  </w:r>
                  <w:r>
                    <w:rPr>
                      <w:rFonts w:hAnsi="宋体"/>
                      <w:bCs/>
                      <w:color w:val="auto"/>
                      <w:kern w:val="0"/>
                      <w:szCs w:val="21"/>
                      <w:highlight w:val="none"/>
                      <w:lang w:val="zh-CN"/>
                    </w:rPr>
                    <w:t>工程</w:t>
                  </w: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物流中心</w:t>
                  </w:r>
                </w:p>
                <w:p>
                  <w:pPr>
                    <w:adjustRightInd w:val="0"/>
                    <w:jc w:val="center"/>
                    <w:rPr>
                      <w:bCs/>
                      <w:color w:val="auto"/>
                      <w:kern w:val="0"/>
                      <w:szCs w:val="21"/>
                      <w:highlight w:val="none"/>
                      <w:lang w:val="zh-CN"/>
                    </w:rPr>
                  </w:pPr>
                  <w:r>
                    <w:rPr>
                      <w:rFonts w:hint="eastAsia"/>
                      <w:bCs/>
                      <w:color w:val="auto"/>
                      <w:kern w:val="0"/>
                      <w:szCs w:val="21"/>
                      <w:highlight w:val="none"/>
                      <w:lang w:val="zh-CN"/>
                    </w:rPr>
                    <w:t>（一期）</w:t>
                  </w:r>
                </w:p>
              </w:tc>
              <w:tc>
                <w:tcPr>
                  <w:tcW w:w="2918" w:type="dxa"/>
                  <w:vAlign w:val="center"/>
                </w:tcPr>
                <w:p>
                  <w:pPr>
                    <w:adjustRightInd w:val="0"/>
                    <w:jc w:val="left"/>
                    <w:rPr>
                      <w:bCs/>
                      <w:color w:val="auto"/>
                      <w:kern w:val="0"/>
                      <w:szCs w:val="21"/>
                      <w:highlight w:val="none"/>
                      <w:vertAlign w:val="superscript"/>
                      <w:lang w:val="zh-CN"/>
                    </w:rPr>
                  </w:pPr>
                  <w:r>
                    <w:rPr>
                      <w:rFonts w:hint="eastAsia"/>
                      <w:bCs/>
                      <w:color w:val="auto"/>
                      <w:kern w:val="0"/>
                      <w:szCs w:val="21"/>
                      <w:highlight w:val="none"/>
                      <w:lang w:val="zh-CN"/>
                    </w:rPr>
                    <w:t>占地面积7202.52m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，建筑面积7138.07m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，建筑高度16.0m</w:t>
                  </w:r>
                </w:p>
              </w:tc>
              <w:tc>
                <w:tcPr>
                  <w:tcW w:w="3679" w:type="dxa"/>
                  <w:vAlign w:val="center"/>
                </w:tcPr>
                <w:p>
                  <w:pPr>
                    <w:adjustRightInd w:val="0"/>
                    <w:jc w:val="left"/>
                    <w:rPr>
                      <w:bCs/>
                      <w:color w:val="auto"/>
                      <w:kern w:val="0"/>
                      <w:szCs w:val="21"/>
                      <w:highlight w:val="none"/>
                      <w:lang w:val="zh-CN"/>
                    </w:rPr>
                  </w:pPr>
                  <w:r>
                    <w:rPr>
                      <w:rFonts w:hint="eastAsia"/>
                      <w:b/>
                      <w:bCs/>
                      <w:color w:val="auto"/>
                      <w:kern w:val="0"/>
                      <w:szCs w:val="21"/>
                      <w:highlight w:val="none"/>
                      <w:lang w:val="zh-CN"/>
                    </w:rPr>
                    <w:t>主要用于存放各类产品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氨气瓶库</w:t>
                  </w:r>
                </w:p>
              </w:tc>
              <w:tc>
                <w:tcPr>
                  <w:tcW w:w="2918" w:type="dxa"/>
                  <w:vAlign w:val="center"/>
                </w:tcPr>
                <w:p>
                  <w:pPr>
                    <w:adjustRightInd w:val="0"/>
                    <w:jc w:val="left"/>
                    <w:rPr>
                      <w:bCs/>
                      <w:color w:val="auto"/>
                      <w:kern w:val="0"/>
                      <w:szCs w:val="21"/>
                      <w:highlight w:val="none"/>
                      <w:vertAlign w:val="superscript"/>
                      <w:lang w:val="zh-CN"/>
                    </w:rPr>
                  </w:pPr>
                  <w:r>
                    <w:rPr>
                      <w:rFonts w:hint="eastAsia"/>
                      <w:bCs/>
                      <w:color w:val="auto"/>
                      <w:kern w:val="0"/>
                      <w:szCs w:val="21"/>
                      <w:highlight w:val="none"/>
                      <w:lang w:val="zh-CN"/>
                    </w:rPr>
                    <w:t>占地面积161.02m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，建筑面积161.02m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，建筑高度3.5m</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主要用于氨气储存（地上储罐储存）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丙烷站</w:t>
                  </w:r>
                </w:p>
              </w:tc>
              <w:tc>
                <w:tcPr>
                  <w:tcW w:w="2918" w:type="dxa"/>
                  <w:vAlign w:val="center"/>
                </w:tcPr>
                <w:p>
                  <w:pPr>
                    <w:adjustRightInd w:val="0"/>
                    <w:jc w:val="left"/>
                    <w:rPr>
                      <w:bCs/>
                      <w:color w:val="auto"/>
                      <w:kern w:val="0"/>
                      <w:szCs w:val="21"/>
                      <w:highlight w:val="none"/>
                      <w:vertAlign w:val="superscript"/>
                      <w:lang w:val="zh-CN"/>
                    </w:rPr>
                  </w:pPr>
                  <w:r>
                    <w:rPr>
                      <w:rFonts w:hint="eastAsia"/>
                      <w:bCs/>
                      <w:color w:val="auto"/>
                      <w:kern w:val="0"/>
                      <w:szCs w:val="21"/>
                      <w:highlight w:val="none"/>
                      <w:lang w:val="zh-CN"/>
                    </w:rPr>
                    <w:t>占地面积207.25m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，建筑面积207.25m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，建筑高度3.5m</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主要用于丙烷储存（瓶装储存）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甲醇埋地罐区</w:t>
                  </w:r>
                </w:p>
              </w:tc>
              <w:tc>
                <w:tcPr>
                  <w:tcW w:w="291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主要储存甲醇（埋地罐储存）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氮气和二氧化碳罐区</w:t>
                  </w:r>
                </w:p>
              </w:tc>
              <w:tc>
                <w:tcPr>
                  <w:tcW w:w="291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主要储存氮气和二氧化碳（地上储罐储存）</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乳化库区</w:t>
                  </w:r>
                </w:p>
              </w:tc>
              <w:tc>
                <w:tcPr>
                  <w:tcW w:w="2918" w:type="dxa"/>
                  <w:vAlign w:val="center"/>
                </w:tcPr>
                <w:p>
                  <w:pPr>
                    <w:adjustRightInd w:val="0"/>
                    <w:jc w:val="center"/>
                    <w:rPr>
                      <w:bCs/>
                      <w:color w:val="auto"/>
                      <w:kern w:val="0"/>
                      <w:szCs w:val="21"/>
                      <w:highlight w:val="none"/>
                      <w:vertAlign w:val="superscript"/>
                      <w:lang w:val="zh-CN"/>
                    </w:rPr>
                  </w:pPr>
                  <w:r>
                    <w:rPr>
                      <w:rFonts w:hint="eastAsia"/>
                      <w:bCs/>
                      <w:color w:val="auto"/>
                      <w:kern w:val="0"/>
                      <w:szCs w:val="21"/>
                      <w:highlight w:val="none"/>
                      <w:lang w:val="zh-CN"/>
                    </w:rPr>
                    <w:t>/</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主要储存生产需要使用的乳化油（埋地罐储存）及其他油品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废品库</w:t>
                  </w:r>
                </w:p>
              </w:tc>
              <w:tc>
                <w:tcPr>
                  <w:tcW w:w="291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占地面积1440m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，建筑面积1440m</w:t>
                  </w:r>
                  <w:r>
                    <w:rPr>
                      <w:rFonts w:hint="eastAsia"/>
                      <w:bCs/>
                      <w:color w:val="auto"/>
                      <w:kern w:val="0"/>
                      <w:szCs w:val="21"/>
                      <w:highlight w:val="none"/>
                      <w:vertAlign w:val="superscript"/>
                      <w:lang w:val="zh-CN"/>
                    </w:rPr>
                    <w:t>2</w:t>
                  </w:r>
                  <w:r>
                    <w:rPr>
                      <w:rFonts w:hint="eastAsia"/>
                      <w:bCs/>
                      <w:color w:val="auto"/>
                      <w:kern w:val="0"/>
                      <w:szCs w:val="21"/>
                      <w:highlight w:val="none"/>
                      <w:lang w:val="zh-CN"/>
                    </w:rPr>
                    <w:t>，建筑高度5.0m</w:t>
                  </w:r>
                </w:p>
              </w:tc>
              <w:tc>
                <w:tcPr>
                  <w:tcW w:w="3679" w:type="dxa"/>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主要储存各类废品</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restart"/>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环保工程</w:t>
                  </w: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废水处理工程</w:t>
                  </w:r>
                </w:p>
              </w:tc>
              <w:tc>
                <w:tcPr>
                  <w:tcW w:w="6597" w:type="dxa"/>
                  <w:gridSpan w:val="2"/>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抛光、喷砂、拖地含油废水以及员工生活废水中的食堂含油污水经隔油沉淀池处理后，与其他生活废水进入化粪池处理，然后排入湘潭市九华污水处理厂处理达标后，最终汇入湘江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废气处理工程</w:t>
                  </w:r>
                </w:p>
              </w:tc>
              <w:tc>
                <w:tcPr>
                  <w:tcW w:w="6597" w:type="dxa"/>
                  <w:gridSpan w:val="2"/>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项目清洗废气拟经15m排气筒（1#）排放。经烧嘴燃烧、油雾净化器处理后，本项目滚子摇臂、可变滚子摇臂、张紧器热处理废气经15m排气筒（2#）排放，轮毂轴承热处理废气经15m排气筒（3#）排放。注塑废气在车间呈无组织排放。食堂油烟经油烟净化器处理后引至楼顶排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噪声处理工程</w:t>
                  </w:r>
                </w:p>
              </w:tc>
              <w:tc>
                <w:tcPr>
                  <w:tcW w:w="6597" w:type="dxa"/>
                  <w:gridSpan w:val="2"/>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选用低噪声设备；基座减振；设置隔声间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固体废物处理工程</w:t>
                  </w:r>
                </w:p>
              </w:tc>
              <w:tc>
                <w:tcPr>
                  <w:tcW w:w="6597" w:type="dxa"/>
                  <w:gridSpan w:val="2"/>
                  <w:vAlign w:val="center"/>
                </w:tcPr>
                <w:p>
                  <w:pPr>
                    <w:adjustRightInd w:val="0"/>
                    <w:rPr>
                      <w:bCs/>
                      <w:color w:val="auto"/>
                      <w:kern w:val="0"/>
                      <w:szCs w:val="21"/>
                      <w:highlight w:val="none"/>
                      <w:lang w:val="zh-CN"/>
                    </w:rPr>
                  </w:pPr>
                  <w:r>
                    <w:rPr>
                      <w:rFonts w:hint="eastAsia"/>
                      <w:bCs/>
                      <w:color w:val="auto"/>
                      <w:kern w:val="0"/>
                      <w:szCs w:val="21"/>
                      <w:highlight w:val="none"/>
                      <w:lang w:val="zh-CN"/>
                    </w:rPr>
                    <w:t>危险固体废物分类收集、暂存于废品库中危险固废区（建筑面积1200m</w:t>
                  </w:r>
                  <w:r>
                    <w:rPr>
                      <w:rFonts w:hint="eastAsia"/>
                      <w:bCs/>
                      <w:color w:val="auto"/>
                      <w:kern w:val="0"/>
                      <w:szCs w:val="21"/>
                      <w:highlight w:val="none"/>
                      <w:vertAlign w:val="superscript"/>
                      <w:lang w:val="zh-CN"/>
                    </w:rPr>
                    <w:t>2</w:t>
                  </w:r>
                  <w:r>
                    <w:rPr>
                      <w:rFonts w:hint="eastAsia"/>
                      <w:bCs/>
                      <w:color w:val="auto"/>
                      <w:kern w:val="0"/>
                      <w:szCs w:val="21"/>
                      <w:highlight w:val="none"/>
                      <w:lang w:val="zh-CN"/>
                    </w:rPr>
                    <w:t>），委托有资质的单位定期运输、处置；一般工业固体废物：分类收集、暂存于废品库中一般固废区（建筑面积230m</w:t>
                  </w:r>
                  <w:r>
                    <w:rPr>
                      <w:rFonts w:hint="eastAsia"/>
                      <w:bCs/>
                      <w:color w:val="auto"/>
                      <w:kern w:val="0"/>
                      <w:szCs w:val="21"/>
                      <w:highlight w:val="none"/>
                      <w:vertAlign w:val="superscript"/>
                      <w:lang w:val="zh-CN"/>
                    </w:rPr>
                    <w:t>2</w:t>
                  </w:r>
                  <w:r>
                    <w:rPr>
                      <w:rFonts w:hint="eastAsia"/>
                      <w:bCs/>
                      <w:color w:val="auto"/>
                      <w:kern w:val="0"/>
                      <w:szCs w:val="21"/>
                      <w:highlight w:val="none"/>
                      <w:lang w:val="zh-CN"/>
                    </w:rPr>
                    <w:t>），拟外售废品回收站处理；生活垃圾委托当地环卫部门处置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restart"/>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依托工程</w:t>
                  </w: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供水工程</w:t>
                  </w:r>
                </w:p>
              </w:tc>
              <w:tc>
                <w:tcPr>
                  <w:tcW w:w="6597" w:type="dxa"/>
                  <w:gridSpan w:val="2"/>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依托湘潭经济技术开发区市政供水管网</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供电工程</w:t>
                  </w:r>
                </w:p>
              </w:tc>
              <w:tc>
                <w:tcPr>
                  <w:tcW w:w="6597" w:type="dxa"/>
                  <w:gridSpan w:val="2"/>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依托湘潭经济技术开发区供电系统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1281" w:type="dxa"/>
                  <w:vMerge w:val="continue"/>
                  <w:vAlign w:val="center"/>
                </w:tcPr>
                <w:p>
                  <w:pPr>
                    <w:adjustRightInd w:val="0"/>
                    <w:jc w:val="center"/>
                    <w:rPr>
                      <w:bCs/>
                      <w:color w:val="auto"/>
                      <w:kern w:val="0"/>
                      <w:szCs w:val="21"/>
                      <w:highlight w:val="none"/>
                      <w:lang w:val="zh-CN"/>
                    </w:rPr>
                  </w:pPr>
                </w:p>
              </w:tc>
              <w:tc>
                <w:tcPr>
                  <w:tcW w:w="1478"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排水工程</w:t>
                  </w:r>
                </w:p>
              </w:tc>
              <w:tc>
                <w:tcPr>
                  <w:tcW w:w="6597" w:type="dxa"/>
                  <w:gridSpan w:val="2"/>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依托湘潭经济技术开发区污水管网及九华污水处理厂</w:t>
                  </w:r>
                </w:p>
              </w:tc>
            </w:tr>
          </w:tbl>
          <w:p>
            <w:pPr>
              <w:ind w:firstLine="480" w:firstLineChars="200"/>
              <w:rPr>
                <w:bCs/>
                <w:color w:val="auto"/>
                <w:sz w:val="24"/>
                <w:highlight w:val="none"/>
              </w:rPr>
            </w:pPr>
          </w:p>
          <w:p>
            <w:pPr>
              <w:spacing w:line="360" w:lineRule="auto"/>
              <w:ind w:firstLine="480" w:firstLineChars="200"/>
              <w:rPr>
                <w:color w:val="auto"/>
                <w:sz w:val="24"/>
                <w:highlight w:val="none"/>
              </w:rPr>
            </w:pPr>
            <w:r>
              <w:rPr>
                <w:rFonts w:hint="eastAsia"/>
                <w:color w:val="auto"/>
                <w:sz w:val="24"/>
                <w:highlight w:val="none"/>
              </w:rPr>
              <w:t>（2）产品方案</w:t>
            </w:r>
          </w:p>
          <w:p>
            <w:pPr>
              <w:spacing w:line="360" w:lineRule="auto"/>
              <w:ind w:firstLine="480" w:firstLineChars="200"/>
              <w:rPr>
                <w:color w:val="auto"/>
                <w:sz w:val="24"/>
                <w:highlight w:val="none"/>
              </w:rPr>
            </w:pPr>
            <w:r>
              <w:rPr>
                <w:color w:val="auto"/>
                <w:sz w:val="24"/>
                <w:highlight w:val="none"/>
              </w:rPr>
              <w:t>项目</w:t>
            </w:r>
            <w:r>
              <w:rPr>
                <w:rFonts w:hint="eastAsia"/>
                <w:color w:val="auto"/>
                <w:sz w:val="24"/>
                <w:highlight w:val="none"/>
              </w:rPr>
              <w:t>主要产品及规模见下表</w:t>
            </w:r>
            <w:r>
              <w:rPr>
                <w:color w:val="auto"/>
                <w:sz w:val="24"/>
                <w:highlight w:val="none"/>
              </w:rPr>
              <w:t>。</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1-3</w:t>
            </w:r>
            <w:r>
              <w:rPr>
                <w:b/>
                <w:color w:val="auto"/>
                <w:sz w:val="24"/>
                <w:highlight w:val="none"/>
              </w:rPr>
              <w:t xml:space="preserve"> </w:t>
            </w:r>
            <w:r>
              <w:rPr>
                <w:rFonts w:hint="eastAsia"/>
                <w:b/>
                <w:color w:val="auto"/>
                <w:sz w:val="24"/>
                <w:highlight w:val="none"/>
              </w:rPr>
              <w:t xml:space="preserve"> 项目产品方案一览表</w:t>
            </w:r>
          </w:p>
          <w:tbl>
            <w:tblPr>
              <w:tblStyle w:val="29"/>
              <w:tblW w:w="9356" w:type="dxa"/>
              <w:jc w:val="center"/>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99"/>
              <w:gridCol w:w="2640"/>
              <w:gridCol w:w="878"/>
              <w:gridCol w:w="1512"/>
              <w:gridCol w:w="33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99"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序号</w:t>
                  </w:r>
                </w:p>
              </w:tc>
              <w:tc>
                <w:tcPr>
                  <w:tcW w:w="2640"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产品名称</w:t>
                  </w:r>
                </w:p>
              </w:tc>
              <w:tc>
                <w:tcPr>
                  <w:tcW w:w="8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单位</w:t>
                  </w:r>
                </w:p>
              </w:tc>
              <w:tc>
                <w:tcPr>
                  <w:tcW w:w="1512"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设计年</w:t>
                  </w:r>
                  <w:r>
                    <w:rPr>
                      <w:rFonts w:hAnsi="宋体"/>
                      <w:bCs/>
                      <w:color w:val="auto"/>
                      <w:kern w:val="0"/>
                      <w:szCs w:val="21"/>
                      <w:highlight w:val="none"/>
                      <w:lang w:val="zh-CN"/>
                    </w:rPr>
                    <w:t>产量</w:t>
                  </w:r>
                </w:p>
              </w:tc>
              <w:tc>
                <w:tcPr>
                  <w:tcW w:w="3327"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储存位置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99"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1</w:t>
                  </w:r>
                </w:p>
              </w:tc>
              <w:tc>
                <w:tcPr>
                  <w:tcW w:w="2640"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滚子摇臂</w:t>
                  </w:r>
                </w:p>
              </w:tc>
              <w:tc>
                <w:tcPr>
                  <w:tcW w:w="8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件/年</w:t>
                  </w:r>
                </w:p>
              </w:tc>
              <w:tc>
                <w:tcPr>
                  <w:tcW w:w="1512"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1100万</w:t>
                  </w:r>
                </w:p>
              </w:tc>
              <w:tc>
                <w:tcPr>
                  <w:tcW w:w="3327" w:type="dxa"/>
                  <w:vMerge w:val="restart"/>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物流中心（一期）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99"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2</w:t>
                  </w:r>
                </w:p>
              </w:tc>
              <w:tc>
                <w:tcPr>
                  <w:tcW w:w="2640"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可变滚子摇臂</w:t>
                  </w:r>
                </w:p>
              </w:tc>
              <w:tc>
                <w:tcPr>
                  <w:tcW w:w="8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件/年</w:t>
                  </w:r>
                </w:p>
              </w:tc>
              <w:tc>
                <w:tcPr>
                  <w:tcW w:w="1512"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210万</w:t>
                  </w:r>
                </w:p>
              </w:tc>
              <w:tc>
                <w:tcPr>
                  <w:tcW w:w="3327" w:type="dxa"/>
                  <w:vMerge w:val="continue"/>
                  <w:vAlign w:val="center"/>
                </w:tcPr>
                <w:p>
                  <w:pPr>
                    <w:adjustRightInd w:val="0"/>
                    <w:jc w:val="center"/>
                    <w:rPr>
                      <w:rFonts w:hAnsi="宋体"/>
                      <w:bCs/>
                      <w:color w:val="auto"/>
                      <w:kern w:val="0"/>
                      <w:szCs w:val="21"/>
                      <w:highlight w:val="none"/>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99"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3</w:t>
                  </w:r>
                </w:p>
              </w:tc>
              <w:tc>
                <w:tcPr>
                  <w:tcW w:w="2640"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悬架轴承</w:t>
                  </w:r>
                </w:p>
              </w:tc>
              <w:tc>
                <w:tcPr>
                  <w:tcW w:w="8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件/年</w:t>
                  </w:r>
                </w:p>
              </w:tc>
              <w:tc>
                <w:tcPr>
                  <w:tcW w:w="1512" w:type="dxa"/>
                  <w:vAlign w:val="center"/>
                </w:tcPr>
                <w:p>
                  <w:pPr>
                    <w:adjustRightInd w:val="0"/>
                    <w:jc w:val="center"/>
                    <w:rPr>
                      <w:rFonts w:hAnsi="宋体"/>
                      <w:bCs/>
                      <w:color w:val="auto"/>
                      <w:kern w:val="0"/>
                      <w:szCs w:val="21"/>
                      <w:highlight w:val="none"/>
                      <w:lang w:val="zh-CN"/>
                    </w:rPr>
                  </w:pPr>
                  <w:r>
                    <w:rPr>
                      <w:rFonts w:hint="eastAsia"/>
                      <w:bCs/>
                      <w:color w:val="auto"/>
                      <w:kern w:val="0"/>
                      <w:szCs w:val="21"/>
                      <w:highlight w:val="none"/>
                      <w:lang w:val="zh-CN"/>
                    </w:rPr>
                    <w:t>900万</w:t>
                  </w:r>
                </w:p>
              </w:tc>
              <w:tc>
                <w:tcPr>
                  <w:tcW w:w="3327" w:type="dxa"/>
                  <w:vMerge w:val="continue"/>
                  <w:vAlign w:val="center"/>
                </w:tcPr>
                <w:p>
                  <w:pPr>
                    <w:adjustRightInd w:val="0"/>
                    <w:jc w:val="center"/>
                    <w:rPr>
                      <w:rFonts w:hAnsi="宋体"/>
                      <w:bCs/>
                      <w:color w:val="auto"/>
                      <w:kern w:val="0"/>
                      <w:szCs w:val="21"/>
                      <w:highlight w:val="none"/>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99"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4</w:t>
                  </w:r>
                </w:p>
              </w:tc>
              <w:tc>
                <w:tcPr>
                  <w:tcW w:w="2640"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轮毂轴承3代</w:t>
                  </w:r>
                </w:p>
              </w:tc>
              <w:tc>
                <w:tcPr>
                  <w:tcW w:w="8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件/年</w:t>
                  </w:r>
                </w:p>
              </w:tc>
              <w:tc>
                <w:tcPr>
                  <w:tcW w:w="1512"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200万</w:t>
                  </w:r>
                </w:p>
              </w:tc>
              <w:tc>
                <w:tcPr>
                  <w:tcW w:w="3327" w:type="dxa"/>
                  <w:vMerge w:val="continue"/>
                  <w:vAlign w:val="center"/>
                </w:tcPr>
                <w:p>
                  <w:pPr>
                    <w:adjustRightInd w:val="0"/>
                    <w:jc w:val="center"/>
                    <w:rPr>
                      <w:rFonts w:hAnsi="宋体"/>
                      <w:bCs/>
                      <w:color w:val="auto"/>
                      <w:kern w:val="0"/>
                      <w:szCs w:val="21"/>
                      <w:highlight w:val="none"/>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99"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5</w:t>
                  </w:r>
                </w:p>
              </w:tc>
              <w:tc>
                <w:tcPr>
                  <w:tcW w:w="2640"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张紧器</w:t>
                  </w:r>
                </w:p>
              </w:tc>
              <w:tc>
                <w:tcPr>
                  <w:tcW w:w="8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件/年</w:t>
                  </w:r>
                </w:p>
              </w:tc>
              <w:tc>
                <w:tcPr>
                  <w:tcW w:w="1512"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1800万</w:t>
                  </w:r>
                </w:p>
              </w:tc>
              <w:tc>
                <w:tcPr>
                  <w:tcW w:w="3327" w:type="dxa"/>
                  <w:vMerge w:val="continue"/>
                  <w:vAlign w:val="center"/>
                </w:tcPr>
                <w:p>
                  <w:pPr>
                    <w:adjustRightInd w:val="0"/>
                    <w:jc w:val="center"/>
                    <w:rPr>
                      <w:rFonts w:hAnsi="宋体"/>
                      <w:bCs/>
                      <w:color w:val="auto"/>
                      <w:kern w:val="0"/>
                      <w:szCs w:val="21"/>
                      <w:highlight w:val="none"/>
                      <w:lang w:val="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99"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6</w:t>
                  </w:r>
                </w:p>
              </w:tc>
              <w:tc>
                <w:tcPr>
                  <w:tcW w:w="2640"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热管理模块</w:t>
                  </w:r>
                </w:p>
              </w:tc>
              <w:tc>
                <w:tcPr>
                  <w:tcW w:w="878"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件/年</w:t>
                  </w:r>
                </w:p>
              </w:tc>
              <w:tc>
                <w:tcPr>
                  <w:tcW w:w="1512"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100万</w:t>
                  </w:r>
                </w:p>
              </w:tc>
              <w:tc>
                <w:tcPr>
                  <w:tcW w:w="3327" w:type="dxa"/>
                  <w:vMerge w:val="continue"/>
                  <w:vAlign w:val="center"/>
                </w:tcPr>
                <w:p>
                  <w:pPr>
                    <w:adjustRightInd w:val="0"/>
                    <w:jc w:val="center"/>
                    <w:rPr>
                      <w:rFonts w:hAnsi="宋体"/>
                      <w:bCs/>
                      <w:color w:val="auto"/>
                      <w:kern w:val="0"/>
                      <w:szCs w:val="21"/>
                      <w:highlight w:val="none"/>
                      <w:lang w:val="zh-CN"/>
                    </w:rPr>
                  </w:pPr>
                </w:p>
              </w:tc>
            </w:tr>
          </w:tbl>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 xml:space="preserve">1.2.3 </w:t>
            </w:r>
            <w:r>
              <w:rPr>
                <w:b/>
                <w:color w:val="auto"/>
                <w:spacing w:val="4"/>
                <w:sz w:val="24"/>
                <w:szCs w:val="24"/>
                <w:highlight w:val="none"/>
              </w:rPr>
              <w:t>主要生产设备</w:t>
            </w:r>
          </w:p>
          <w:p>
            <w:pPr>
              <w:spacing w:line="360" w:lineRule="auto"/>
              <w:ind w:firstLine="480" w:firstLineChars="200"/>
              <w:rPr>
                <w:color w:val="auto"/>
                <w:sz w:val="24"/>
                <w:highlight w:val="none"/>
              </w:rPr>
            </w:pPr>
            <w:r>
              <w:rPr>
                <w:rFonts w:hint="eastAsia"/>
                <w:color w:val="auto"/>
                <w:sz w:val="24"/>
                <w:highlight w:val="none"/>
              </w:rPr>
              <w:t>项目</w:t>
            </w:r>
            <w:r>
              <w:rPr>
                <w:color w:val="auto"/>
                <w:sz w:val="24"/>
                <w:highlight w:val="none"/>
              </w:rPr>
              <w:t>主要生产设备见</w:t>
            </w:r>
            <w:r>
              <w:rPr>
                <w:rFonts w:hint="eastAsia"/>
                <w:color w:val="auto"/>
                <w:sz w:val="24"/>
                <w:highlight w:val="none"/>
              </w:rPr>
              <w:t>下</w:t>
            </w:r>
            <w:r>
              <w:rPr>
                <w:color w:val="auto"/>
                <w:sz w:val="24"/>
                <w:highlight w:val="none"/>
              </w:rPr>
              <w:t>表</w:t>
            </w:r>
            <w:r>
              <w:rPr>
                <w:rFonts w:hint="eastAsia"/>
                <w:color w:val="auto"/>
                <w:sz w:val="24"/>
                <w:highlight w:val="none"/>
              </w:rPr>
              <w:t>1-4</w:t>
            </w:r>
            <w:r>
              <w:rPr>
                <w:color w:val="auto"/>
                <w:sz w:val="24"/>
                <w:highlight w:val="none"/>
              </w:rPr>
              <w:t>。</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1-4</w:t>
            </w:r>
            <w:r>
              <w:rPr>
                <w:b/>
                <w:color w:val="auto"/>
                <w:sz w:val="24"/>
                <w:highlight w:val="none"/>
              </w:rPr>
              <w:t xml:space="preserve"> </w:t>
            </w:r>
            <w:r>
              <w:rPr>
                <w:rFonts w:hint="eastAsia"/>
                <w:b/>
                <w:color w:val="auto"/>
                <w:sz w:val="24"/>
                <w:highlight w:val="none"/>
              </w:rPr>
              <w:t xml:space="preserve"> </w:t>
            </w:r>
            <w:r>
              <w:rPr>
                <w:b/>
                <w:color w:val="auto"/>
                <w:sz w:val="24"/>
                <w:highlight w:val="none"/>
              </w:rPr>
              <w:t>主要</w:t>
            </w:r>
            <w:r>
              <w:rPr>
                <w:rFonts w:hint="eastAsia"/>
                <w:b/>
                <w:color w:val="auto"/>
                <w:sz w:val="24"/>
                <w:highlight w:val="none"/>
              </w:rPr>
              <w:t>设备一览表</w:t>
            </w:r>
          </w:p>
          <w:tbl>
            <w:tblPr>
              <w:tblStyle w:val="29"/>
              <w:tblW w:w="10018"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436"/>
              <w:gridCol w:w="2268"/>
              <w:gridCol w:w="1559"/>
              <w:gridCol w:w="26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18" w:type="dxa"/>
                  <w:gridSpan w:val="5"/>
                  <w:shd w:val="clear" w:color="auto" w:fill="auto"/>
                  <w:vAlign w:val="center"/>
                </w:tcPr>
                <w:p>
                  <w:pPr>
                    <w:widowControl/>
                    <w:jc w:val="left"/>
                    <w:rPr>
                      <w:b/>
                      <w:color w:val="auto"/>
                      <w:kern w:val="0"/>
                      <w:szCs w:val="21"/>
                      <w:highlight w:val="none"/>
                    </w:rPr>
                  </w:pPr>
                  <w:r>
                    <w:rPr>
                      <w:rFonts w:hint="eastAsia"/>
                      <w:b/>
                      <w:color w:val="auto"/>
                      <w:kern w:val="0"/>
                      <w:szCs w:val="21"/>
                      <w:highlight w:val="none"/>
                    </w:rPr>
                    <w:t>一、滚子摇臂主要设备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36" w:type="dxa"/>
                  <w:shd w:val="clear" w:color="auto" w:fill="auto"/>
                  <w:vAlign w:val="center"/>
                </w:tcPr>
                <w:p>
                  <w:pPr>
                    <w:widowControl/>
                    <w:jc w:val="center"/>
                    <w:rPr>
                      <w:color w:val="auto"/>
                      <w:kern w:val="0"/>
                      <w:szCs w:val="21"/>
                      <w:highlight w:val="none"/>
                    </w:rPr>
                  </w:pPr>
                  <w:r>
                    <w:rPr>
                      <w:color w:val="auto"/>
                      <w:kern w:val="0"/>
                      <w:szCs w:val="21"/>
                      <w:highlight w:val="none"/>
                    </w:rPr>
                    <w:t>设备名称</w:t>
                  </w:r>
                </w:p>
              </w:tc>
              <w:tc>
                <w:tcPr>
                  <w:tcW w:w="2268" w:type="dxa"/>
                  <w:shd w:val="clear" w:color="auto" w:fill="auto"/>
                  <w:vAlign w:val="center"/>
                </w:tcPr>
                <w:p>
                  <w:pPr>
                    <w:widowControl/>
                    <w:jc w:val="center"/>
                    <w:rPr>
                      <w:color w:val="auto"/>
                      <w:kern w:val="0"/>
                      <w:szCs w:val="21"/>
                      <w:highlight w:val="none"/>
                    </w:rPr>
                  </w:pPr>
                  <w:r>
                    <w:rPr>
                      <w:color w:val="auto"/>
                      <w:kern w:val="0"/>
                      <w:szCs w:val="21"/>
                      <w:highlight w:val="none"/>
                    </w:rPr>
                    <w:t>规格型号</w:t>
                  </w:r>
                </w:p>
              </w:tc>
              <w:tc>
                <w:tcPr>
                  <w:tcW w:w="1559" w:type="dxa"/>
                  <w:shd w:val="clear" w:color="auto" w:fill="auto"/>
                  <w:vAlign w:val="center"/>
                </w:tcPr>
                <w:p>
                  <w:pPr>
                    <w:widowControl/>
                    <w:jc w:val="center"/>
                    <w:rPr>
                      <w:color w:val="auto"/>
                      <w:kern w:val="0"/>
                      <w:szCs w:val="21"/>
                      <w:highlight w:val="none"/>
                    </w:rPr>
                  </w:pPr>
                  <w:r>
                    <w:rPr>
                      <w:color w:val="auto"/>
                      <w:kern w:val="0"/>
                      <w:szCs w:val="21"/>
                      <w:highlight w:val="none"/>
                    </w:rPr>
                    <w:t>数量（台套）</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1</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压机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4</w:t>
                  </w:r>
                  <w:r>
                    <w:rPr>
                      <w:color w:val="auto"/>
                      <w:spacing w:val="6"/>
                      <w:highlight w:val="none"/>
                    </w:rPr>
                    <w:t>00吨</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2</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车床</w:t>
                  </w:r>
                </w:p>
              </w:tc>
              <w:tc>
                <w:tcPr>
                  <w:tcW w:w="2268" w:type="dxa"/>
                  <w:shd w:val="clear" w:color="auto" w:fill="auto"/>
                  <w:vAlign w:val="center"/>
                </w:tcPr>
                <w:p>
                  <w:pPr>
                    <w:jc w:val="center"/>
                    <w:rPr>
                      <w:color w:val="auto"/>
                      <w:spacing w:val="6"/>
                      <w:highlight w:val="none"/>
                    </w:rPr>
                  </w:pPr>
                  <w:r>
                    <w:rPr>
                      <w:color w:val="auto"/>
                      <w:spacing w:val="6"/>
                      <w:highlight w:val="none"/>
                    </w:rPr>
                    <w:t>MORI SAY 832</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3</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外圈</w:t>
                  </w:r>
                  <w:r>
                    <w:rPr>
                      <w:color w:val="auto"/>
                      <w:spacing w:val="6"/>
                      <w:highlight w:val="none"/>
                    </w:rPr>
                    <w:t>检测</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内部设备</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4</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外圈</w:t>
                  </w:r>
                  <w:r>
                    <w:rPr>
                      <w:color w:val="auto"/>
                      <w:spacing w:val="6"/>
                      <w:highlight w:val="none"/>
                    </w:rPr>
                    <w:t>扩孔</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内部</w:t>
                  </w:r>
                  <w:r>
                    <w:rPr>
                      <w:color w:val="auto"/>
                      <w:spacing w:val="6"/>
                      <w:highlight w:val="none"/>
                    </w:rPr>
                    <w:t>设备</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5</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热处理</w:t>
                  </w:r>
                  <w:r>
                    <w:rPr>
                      <w:color w:val="auto"/>
                      <w:spacing w:val="6"/>
                      <w:highlight w:val="none"/>
                    </w:rPr>
                    <w:t>炉</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箱式炉</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6</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抛光机</w:t>
                  </w:r>
                </w:p>
              </w:tc>
              <w:tc>
                <w:tcPr>
                  <w:tcW w:w="2268" w:type="dxa"/>
                  <w:shd w:val="clear" w:color="auto" w:fill="auto"/>
                  <w:vAlign w:val="center"/>
                </w:tcPr>
                <w:p>
                  <w:pPr>
                    <w:jc w:val="center"/>
                    <w:rPr>
                      <w:color w:val="auto"/>
                      <w:spacing w:val="6"/>
                      <w:highlight w:val="none"/>
                      <w:lang w:val="de-DE"/>
                    </w:rPr>
                  </w:pPr>
                  <w:r>
                    <w:rPr>
                      <w:color w:val="auto"/>
                      <w:spacing w:val="6"/>
                      <w:highlight w:val="none"/>
                    </w:rPr>
                    <w:t>FKS 15</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7</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水基清洗机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R</w:t>
                  </w:r>
                  <w:r>
                    <w:rPr>
                      <w:color w:val="auto"/>
                      <w:spacing w:val="6"/>
                      <w:highlight w:val="none"/>
                    </w:rPr>
                    <w:t>TF6</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8</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油基清洗机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E</w:t>
                  </w:r>
                  <w:r>
                    <w:rPr>
                      <w:color w:val="auto"/>
                      <w:spacing w:val="6"/>
                      <w:highlight w:val="none"/>
                    </w:rPr>
                    <w:t>cocooe</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9</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离心机</w:t>
                  </w:r>
                </w:p>
              </w:tc>
              <w:tc>
                <w:tcPr>
                  <w:tcW w:w="2268" w:type="dxa"/>
                  <w:shd w:val="clear" w:color="auto" w:fill="auto"/>
                  <w:vAlign w:val="center"/>
                </w:tcPr>
                <w:p>
                  <w:pPr>
                    <w:jc w:val="center"/>
                    <w:rPr>
                      <w:color w:val="auto"/>
                      <w:spacing w:val="6"/>
                      <w:highlight w:val="none"/>
                    </w:rPr>
                  </w:pPr>
                  <w:r>
                    <w:rPr>
                      <w:color w:val="auto"/>
                      <w:spacing w:val="6"/>
                      <w:highlight w:val="none"/>
                    </w:rPr>
                    <w:t>Roesler</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10</w:t>
                  </w:r>
                </w:p>
              </w:tc>
              <w:tc>
                <w:tcPr>
                  <w:tcW w:w="2436" w:type="dxa"/>
                  <w:shd w:val="clear" w:color="auto" w:fill="auto"/>
                  <w:vAlign w:val="center"/>
                </w:tcPr>
                <w:p>
                  <w:pPr>
                    <w:jc w:val="center"/>
                    <w:rPr>
                      <w:color w:val="auto"/>
                      <w:spacing w:val="6"/>
                      <w:highlight w:val="none"/>
                    </w:rPr>
                  </w:pPr>
                  <w:r>
                    <w:rPr>
                      <w:color w:val="auto"/>
                      <w:spacing w:val="6"/>
                      <w:highlight w:val="none"/>
                    </w:rPr>
                    <w:t>端面磨床</w:t>
                  </w:r>
                </w:p>
              </w:tc>
              <w:tc>
                <w:tcPr>
                  <w:tcW w:w="2268" w:type="dxa"/>
                  <w:shd w:val="clear" w:color="auto" w:fill="auto"/>
                  <w:vAlign w:val="center"/>
                </w:tcPr>
                <w:p>
                  <w:pPr>
                    <w:jc w:val="center"/>
                    <w:rPr>
                      <w:color w:val="auto"/>
                      <w:spacing w:val="6"/>
                      <w:highlight w:val="none"/>
                    </w:rPr>
                  </w:pPr>
                  <w:r>
                    <w:rPr>
                      <w:color w:val="auto"/>
                      <w:spacing w:val="6"/>
                      <w:highlight w:val="none"/>
                    </w:rPr>
                    <w:t>Rabbit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11</w:t>
                  </w:r>
                </w:p>
              </w:tc>
              <w:tc>
                <w:tcPr>
                  <w:tcW w:w="2436" w:type="dxa"/>
                  <w:shd w:val="clear" w:color="auto" w:fill="auto"/>
                  <w:vAlign w:val="center"/>
                </w:tcPr>
                <w:p>
                  <w:pPr>
                    <w:jc w:val="center"/>
                    <w:rPr>
                      <w:color w:val="auto"/>
                      <w:spacing w:val="6"/>
                      <w:highlight w:val="none"/>
                    </w:rPr>
                  </w:pPr>
                  <w:r>
                    <w:rPr>
                      <w:color w:val="auto"/>
                      <w:spacing w:val="6"/>
                      <w:highlight w:val="none"/>
                    </w:rPr>
                    <w:t>无心磨床</w:t>
                  </w:r>
                </w:p>
              </w:tc>
              <w:tc>
                <w:tcPr>
                  <w:tcW w:w="2268" w:type="dxa"/>
                  <w:shd w:val="clear" w:color="auto" w:fill="auto"/>
                  <w:vAlign w:val="center"/>
                </w:tcPr>
                <w:p>
                  <w:pPr>
                    <w:jc w:val="center"/>
                    <w:rPr>
                      <w:color w:val="auto"/>
                      <w:spacing w:val="6"/>
                      <w:highlight w:val="none"/>
                    </w:rPr>
                  </w:pPr>
                  <w:r>
                    <w:rPr>
                      <w:color w:val="auto"/>
                      <w:spacing w:val="6"/>
                      <w:highlight w:val="none"/>
                    </w:rPr>
                    <w:t>Jupiter</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12</w:t>
                  </w:r>
                </w:p>
              </w:tc>
              <w:tc>
                <w:tcPr>
                  <w:tcW w:w="2436" w:type="dxa"/>
                  <w:shd w:val="clear" w:color="auto" w:fill="auto"/>
                  <w:vAlign w:val="center"/>
                </w:tcPr>
                <w:p>
                  <w:pPr>
                    <w:jc w:val="center"/>
                    <w:rPr>
                      <w:color w:val="auto"/>
                      <w:spacing w:val="6"/>
                      <w:highlight w:val="none"/>
                    </w:rPr>
                  </w:pPr>
                  <w:r>
                    <w:rPr>
                      <w:color w:val="auto"/>
                      <w:spacing w:val="6"/>
                      <w:highlight w:val="none"/>
                    </w:rPr>
                    <w:t>内圆磨床</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N</w:t>
                  </w:r>
                  <w:r>
                    <w:rPr>
                      <w:color w:val="auto"/>
                      <w:spacing w:val="6"/>
                      <w:highlight w:val="none"/>
                    </w:rPr>
                    <w:t>OVA</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13</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超精研磨</w:t>
                  </w:r>
                  <w:r>
                    <w:rPr>
                      <w:color w:val="auto"/>
                      <w:spacing w:val="6"/>
                      <w:highlight w:val="none"/>
                    </w:rPr>
                    <w:t>机</w:t>
                  </w:r>
                </w:p>
              </w:tc>
              <w:tc>
                <w:tcPr>
                  <w:tcW w:w="2268" w:type="dxa"/>
                  <w:shd w:val="clear" w:color="auto" w:fill="auto"/>
                  <w:vAlign w:val="center"/>
                </w:tcPr>
                <w:p>
                  <w:pPr>
                    <w:jc w:val="center"/>
                    <w:rPr>
                      <w:color w:val="auto"/>
                      <w:spacing w:val="6"/>
                      <w:highlight w:val="none"/>
                    </w:rPr>
                  </w:pPr>
                  <w:r>
                    <w:rPr>
                      <w:color w:val="auto"/>
                      <w:spacing w:val="6"/>
                      <w:highlight w:val="none"/>
                    </w:rPr>
                    <w:t>BEAIN</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14</w:t>
                  </w:r>
                </w:p>
              </w:tc>
              <w:tc>
                <w:tcPr>
                  <w:tcW w:w="2436" w:type="dxa"/>
                  <w:shd w:val="clear" w:color="auto" w:fill="auto"/>
                  <w:vAlign w:val="center"/>
                </w:tcPr>
                <w:p>
                  <w:pPr>
                    <w:jc w:val="center"/>
                    <w:rPr>
                      <w:color w:val="auto"/>
                      <w:spacing w:val="6"/>
                      <w:highlight w:val="none"/>
                    </w:rPr>
                  </w:pPr>
                  <w:r>
                    <w:rPr>
                      <w:color w:val="auto"/>
                      <w:spacing w:val="6"/>
                      <w:highlight w:val="none"/>
                    </w:rPr>
                    <w:t>自动</w:t>
                  </w:r>
                  <w:r>
                    <w:rPr>
                      <w:rFonts w:hint="eastAsia"/>
                      <w:color w:val="auto"/>
                      <w:spacing w:val="6"/>
                      <w:highlight w:val="none"/>
                    </w:rPr>
                    <w:t>目检</w:t>
                  </w:r>
                  <w:r>
                    <w:rPr>
                      <w:color w:val="auto"/>
                      <w:spacing w:val="6"/>
                      <w:highlight w:val="none"/>
                    </w:rPr>
                    <w:t>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内部</w:t>
                  </w:r>
                  <w:r>
                    <w:rPr>
                      <w:color w:val="auto"/>
                      <w:spacing w:val="6"/>
                      <w:highlight w:val="none"/>
                    </w:rPr>
                    <w:t>设备</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15</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自动</w:t>
                  </w:r>
                  <w:r>
                    <w:rPr>
                      <w:color w:val="auto"/>
                      <w:spacing w:val="6"/>
                      <w:highlight w:val="none"/>
                    </w:rPr>
                    <w:t>装配线</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内部</w:t>
                  </w:r>
                  <w:r>
                    <w:rPr>
                      <w:color w:val="auto"/>
                      <w:spacing w:val="6"/>
                      <w:highlight w:val="none"/>
                    </w:rPr>
                    <w:t>设备</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16</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铣床</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F</w:t>
                  </w:r>
                  <w:r>
                    <w:rPr>
                      <w:color w:val="auto"/>
                      <w:spacing w:val="6"/>
                      <w:highlight w:val="none"/>
                    </w:rPr>
                    <w:t>ANUC LEWE</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8</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18" w:type="dxa"/>
                  <w:gridSpan w:val="5"/>
                  <w:shd w:val="clear" w:color="auto" w:fill="auto"/>
                  <w:vAlign w:val="center"/>
                </w:tcPr>
                <w:p>
                  <w:pPr>
                    <w:widowControl/>
                    <w:jc w:val="left"/>
                    <w:rPr>
                      <w:color w:val="auto"/>
                      <w:kern w:val="0"/>
                      <w:szCs w:val="21"/>
                      <w:highlight w:val="none"/>
                    </w:rPr>
                  </w:pPr>
                  <w:r>
                    <w:rPr>
                      <w:rFonts w:hint="eastAsia"/>
                      <w:b/>
                      <w:color w:val="auto"/>
                      <w:kern w:val="0"/>
                      <w:szCs w:val="21"/>
                      <w:highlight w:val="none"/>
                    </w:rPr>
                    <w:t>二、可变滚子摇臂主要设备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36" w:type="dxa"/>
                  <w:shd w:val="clear" w:color="auto" w:fill="auto"/>
                  <w:vAlign w:val="center"/>
                </w:tcPr>
                <w:p>
                  <w:pPr>
                    <w:widowControl/>
                    <w:jc w:val="center"/>
                    <w:rPr>
                      <w:color w:val="auto"/>
                      <w:kern w:val="0"/>
                      <w:szCs w:val="21"/>
                      <w:highlight w:val="none"/>
                    </w:rPr>
                  </w:pPr>
                  <w:r>
                    <w:rPr>
                      <w:color w:val="auto"/>
                      <w:kern w:val="0"/>
                      <w:szCs w:val="21"/>
                      <w:highlight w:val="none"/>
                    </w:rPr>
                    <w:t>设备名称</w:t>
                  </w:r>
                </w:p>
              </w:tc>
              <w:tc>
                <w:tcPr>
                  <w:tcW w:w="2268" w:type="dxa"/>
                  <w:shd w:val="clear" w:color="auto" w:fill="auto"/>
                  <w:vAlign w:val="center"/>
                </w:tcPr>
                <w:p>
                  <w:pPr>
                    <w:widowControl/>
                    <w:jc w:val="center"/>
                    <w:rPr>
                      <w:color w:val="auto"/>
                      <w:kern w:val="0"/>
                      <w:szCs w:val="21"/>
                      <w:highlight w:val="none"/>
                    </w:rPr>
                  </w:pPr>
                  <w:r>
                    <w:rPr>
                      <w:color w:val="auto"/>
                      <w:kern w:val="0"/>
                      <w:szCs w:val="21"/>
                      <w:highlight w:val="none"/>
                    </w:rPr>
                    <w:t>规格型号</w:t>
                  </w:r>
                </w:p>
              </w:tc>
              <w:tc>
                <w:tcPr>
                  <w:tcW w:w="1559" w:type="dxa"/>
                  <w:shd w:val="clear" w:color="auto" w:fill="auto"/>
                  <w:vAlign w:val="center"/>
                </w:tcPr>
                <w:p>
                  <w:pPr>
                    <w:widowControl/>
                    <w:jc w:val="center"/>
                    <w:rPr>
                      <w:color w:val="auto"/>
                      <w:kern w:val="0"/>
                      <w:szCs w:val="21"/>
                      <w:highlight w:val="none"/>
                    </w:rPr>
                  </w:pPr>
                  <w:r>
                    <w:rPr>
                      <w:color w:val="auto"/>
                      <w:kern w:val="0"/>
                      <w:szCs w:val="21"/>
                      <w:highlight w:val="none"/>
                    </w:rPr>
                    <w:t>数量（台套）</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热处理</w:t>
                  </w:r>
                  <w:r>
                    <w:rPr>
                      <w:color w:val="auto"/>
                      <w:spacing w:val="6"/>
                      <w:highlight w:val="none"/>
                    </w:rPr>
                    <w:t>炉</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箱式炉</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与滚子摇臂共用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抛光机</w:t>
                  </w:r>
                </w:p>
              </w:tc>
              <w:tc>
                <w:tcPr>
                  <w:tcW w:w="2268" w:type="dxa"/>
                  <w:shd w:val="clear" w:color="auto" w:fill="auto"/>
                  <w:vAlign w:val="center"/>
                </w:tcPr>
                <w:p>
                  <w:pPr>
                    <w:jc w:val="center"/>
                    <w:rPr>
                      <w:color w:val="auto"/>
                      <w:spacing w:val="6"/>
                      <w:highlight w:val="none"/>
                      <w:lang w:val="de-DE"/>
                    </w:rPr>
                  </w:pPr>
                  <w:r>
                    <w:rPr>
                      <w:color w:val="auto"/>
                      <w:spacing w:val="6"/>
                      <w:highlight w:val="none"/>
                    </w:rPr>
                    <w:t>FKS 15</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Merge w:val="restart"/>
                  <w:vAlign w:val="center"/>
                </w:tcPr>
                <w:p>
                  <w:pPr>
                    <w:widowControl/>
                    <w:jc w:val="center"/>
                    <w:rPr>
                      <w:color w:val="auto"/>
                      <w:kern w:val="0"/>
                      <w:szCs w:val="21"/>
                      <w:highlight w:val="none"/>
                    </w:rPr>
                  </w:pPr>
                  <w:r>
                    <w:rPr>
                      <w:rFonts w:hint="eastAsia"/>
                      <w:color w:val="auto"/>
                      <w:kern w:val="0"/>
                      <w:szCs w:val="21"/>
                      <w:highlight w:val="none"/>
                    </w:rPr>
                    <w:t>与滚子摇臂共用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3</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水基清洗机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R</w:t>
                  </w:r>
                  <w:r>
                    <w:rPr>
                      <w:color w:val="auto"/>
                      <w:spacing w:val="6"/>
                      <w:highlight w:val="none"/>
                    </w:rPr>
                    <w:t>TF6</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Merge w:val="continue"/>
                  <w:vAlign w:val="center"/>
                </w:tcPr>
                <w:p>
                  <w:pPr>
                    <w:widowControl/>
                    <w:jc w:val="center"/>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4</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离心机</w:t>
                  </w:r>
                </w:p>
              </w:tc>
              <w:tc>
                <w:tcPr>
                  <w:tcW w:w="2268" w:type="dxa"/>
                  <w:shd w:val="clear" w:color="auto" w:fill="auto"/>
                  <w:vAlign w:val="center"/>
                </w:tcPr>
                <w:p>
                  <w:pPr>
                    <w:jc w:val="center"/>
                    <w:rPr>
                      <w:color w:val="auto"/>
                      <w:spacing w:val="6"/>
                      <w:highlight w:val="none"/>
                    </w:rPr>
                  </w:pPr>
                  <w:r>
                    <w:rPr>
                      <w:color w:val="auto"/>
                      <w:spacing w:val="6"/>
                      <w:highlight w:val="none"/>
                    </w:rPr>
                    <w:t>Roesler</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Merge w:val="continue"/>
                  <w:vAlign w:val="center"/>
                </w:tcPr>
                <w:p>
                  <w:pPr>
                    <w:widowControl/>
                    <w:jc w:val="center"/>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5</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自动</w:t>
                  </w:r>
                  <w:r>
                    <w:rPr>
                      <w:color w:val="auto"/>
                      <w:spacing w:val="6"/>
                      <w:highlight w:val="none"/>
                    </w:rPr>
                    <w:t>装配线</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内部</w:t>
                  </w:r>
                  <w:r>
                    <w:rPr>
                      <w:color w:val="auto"/>
                      <w:spacing w:val="6"/>
                      <w:highlight w:val="none"/>
                    </w:rPr>
                    <w:t>设备</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6</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铣床</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F</w:t>
                  </w:r>
                  <w:r>
                    <w:rPr>
                      <w:color w:val="auto"/>
                      <w:spacing w:val="6"/>
                      <w:highlight w:val="none"/>
                    </w:rPr>
                    <w:t>ANUC LEWE</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8</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18" w:type="dxa"/>
                  <w:gridSpan w:val="5"/>
                  <w:shd w:val="clear" w:color="auto" w:fill="auto"/>
                  <w:vAlign w:val="center"/>
                </w:tcPr>
                <w:p>
                  <w:pPr>
                    <w:widowControl/>
                    <w:jc w:val="left"/>
                    <w:rPr>
                      <w:color w:val="auto"/>
                      <w:kern w:val="0"/>
                      <w:szCs w:val="21"/>
                      <w:highlight w:val="none"/>
                    </w:rPr>
                  </w:pPr>
                  <w:r>
                    <w:rPr>
                      <w:rFonts w:hint="eastAsia"/>
                      <w:b/>
                      <w:color w:val="auto"/>
                      <w:kern w:val="0"/>
                      <w:szCs w:val="21"/>
                      <w:highlight w:val="none"/>
                    </w:rPr>
                    <w:t>三、张紧器主要生产设备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36" w:type="dxa"/>
                  <w:shd w:val="clear" w:color="auto" w:fill="auto"/>
                  <w:vAlign w:val="center"/>
                </w:tcPr>
                <w:p>
                  <w:pPr>
                    <w:widowControl/>
                    <w:jc w:val="center"/>
                    <w:rPr>
                      <w:color w:val="auto"/>
                      <w:kern w:val="0"/>
                      <w:szCs w:val="21"/>
                      <w:highlight w:val="none"/>
                    </w:rPr>
                  </w:pPr>
                  <w:r>
                    <w:rPr>
                      <w:color w:val="auto"/>
                      <w:kern w:val="0"/>
                      <w:szCs w:val="21"/>
                      <w:highlight w:val="none"/>
                    </w:rPr>
                    <w:t>设备名称</w:t>
                  </w:r>
                </w:p>
              </w:tc>
              <w:tc>
                <w:tcPr>
                  <w:tcW w:w="2268" w:type="dxa"/>
                  <w:shd w:val="clear" w:color="auto" w:fill="auto"/>
                  <w:vAlign w:val="center"/>
                </w:tcPr>
                <w:p>
                  <w:pPr>
                    <w:widowControl/>
                    <w:jc w:val="center"/>
                    <w:rPr>
                      <w:color w:val="auto"/>
                      <w:kern w:val="0"/>
                      <w:szCs w:val="21"/>
                      <w:highlight w:val="none"/>
                    </w:rPr>
                  </w:pPr>
                  <w:r>
                    <w:rPr>
                      <w:color w:val="auto"/>
                      <w:kern w:val="0"/>
                      <w:szCs w:val="21"/>
                      <w:highlight w:val="none"/>
                    </w:rPr>
                    <w:t>规格型号</w:t>
                  </w:r>
                </w:p>
              </w:tc>
              <w:tc>
                <w:tcPr>
                  <w:tcW w:w="1559" w:type="dxa"/>
                  <w:shd w:val="clear" w:color="auto" w:fill="auto"/>
                  <w:vAlign w:val="center"/>
                </w:tcPr>
                <w:p>
                  <w:pPr>
                    <w:widowControl/>
                    <w:jc w:val="center"/>
                    <w:rPr>
                      <w:color w:val="auto"/>
                      <w:kern w:val="0"/>
                      <w:szCs w:val="21"/>
                      <w:highlight w:val="none"/>
                    </w:rPr>
                  </w:pPr>
                  <w:r>
                    <w:rPr>
                      <w:color w:val="auto"/>
                      <w:kern w:val="0"/>
                      <w:szCs w:val="21"/>
                      <w:highlight w:val="none"/>
                    </w:rPr>
                    <w:t>数量（台套）</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热处理炉</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jc w:val="center"/>
                    <w:rPr>
                      <w:color w:val="auto"/>
                      <w:spacing w:val="6"/>
                      <w:highlight w:val="none"/>
                    </w:rPr>
                  </w:pPr>
                  <w:r>
                    <w:rPr>
                      <w:rFonts w:hint="eastAsia"/>
                      <w:color w:val="auto"/>
                      <w:spacing w:val="6"/>
                      <w:highlight w:val="none"/>
                    </w:rPr>
                    <w:t>与滚子摇臂共用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清洗机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3</w:t>
                  </w:r>
                </w:p>
              </w:tc>
              <w:tc>
                <w:tcPr>
                  <w:tcW w:w="2626" w:type="dxa"/>
                  <w:vAlign w:val="center"/>
                </w:tcPr>
                <w:p>
                  <w:pPr>
                    <w:jc w:val="center"/>
                    <w:rPr>
                      <w:color w:val="auto"/>
                      <w:spacing w:val="6"/>
                      <w:highlight w:val="none"/>
                    </w:rPr>
                  </w:pPr>
                  <w:r>
                    <w:rPr>
                      <w:rFonts w:hint="eastAsia"/>
                      <w:color w:val="auto"/>
                      <w:spacing w:val="6"/>
                      <w:highlight w:val="none"/>
                    </w:rPr>
                    <w:t>1台和滚子摇臂生产共用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3</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磨床</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23</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4</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装配线</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18</w:t>
                  </w:r>
                </w:p>
              </w:tc>
              <w:tc>
                <w:tcPr>
                  <w:tcW w:w="2626" w:type="dxa"/>
                  <w:vAlign w:val="center"/>
                </w:tcPr>
                <w:p>
                  <w:pPr>
                    <w:jc w:val="center"/>
                    <w:rPr>
                      <w:color w:val="auto"/>
                      <w:spacing w:val="6"/>
                      <w:highlight w:val="none"/>
                    </w:rPr>
                  </w:pPr>
                  <w:r>
                    <w:rPr>
                      <w:rFonts w:hint="eastAsia"/>
                      <w:color w:val="auto"/>
                      <w:spacing w:val="6"/>
                      <w:highlight w:val="none"/>
                    </w:rPr>
                    <w:t>2台为轴承装配线，16条为张紧器总装线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5</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注塑机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4</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6</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中央供料系统</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18" w:type="dxa"/>
                  <w:gridSpan w:val="5"/>
                  <w:shd w:val="clear" w:color="auto" w:fill="auto"/>
                  <w:vAlign w:val="center"/>
                </w:tcPr>
                <w:p>
                  <w:pPr>
                    <w:widowControl/>
                    <w:jc w:val="left"/>
                    <w:rPr>
                      <w:color w:val="auto"/>
                      <w:kern w:val="0"/>
                      <w:szCs w:val="21"/>
                      <w:highlight w:val="none"/>
                    </w:rPr>
                  </w:pPr>
                  <w:r>
                    <w:rPr>
                      <w:rFonts w:hint="eastAsia"/>
                      <w:b/>
                      <w:color w:val="auto"/>
                      <w:kern w:val="0"/>
                      <w:szCs w:val="21"/>
                      <w:highlight w:val="none"/>
                    </w:rPr>
                    <w:t>四、热管理模块主要生产设备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36" w:type="dxa"/>
                  <w:shd w:val="clear" w:color="auto" w:fill="auto"/>
                  <w:vAlign w:val="center"/>
                </w:tcPr>
                <w:p>
                  <w:pPr>
                    <w:widowControl/>
                    <w:jc w:val="center"/>
                    <w:rPr>
                      <w:color w:val="auto"/>
                      <w:kern w:val="0"/>
                      <w:szCs w:val="21"/>
                      <w:highlight w:val="none"/>
                    </w:rPr>
                  </w:pPr>
                  <w:r>
                    <w:rPr>
                      <w:color w:val="auto"/>
                      <w:kern w:val="0"/>
                      <w:szCs w:val="21"/>
                      <w:highlight w:val="none"/>
                    </w:rPr>
                    <w:t>设备名称</w:t>
                  </w:r>
                </w:p>
              </w:tc>
              <w:tc>
                <w:tcPr>
                  <w:tcW w:w="2268" w:type="dxa"/>
                  <w:shd w:val="clear" w:color="auto" w:fill="auto"/>
                  <w:vAlign w:val="center"/>
                </w:tcPr>
                <w:p>
                  <w:pPr>
                    <w:widowControl/>
                    <w:jc w:val="center"/>
                    <w:rPr>
                      <w:color w:val="auto"/>
                      <w:kern w:val="0"/>
                      <w:szCs w:val="21"/>
                      <w:highlight w:val="none"/>
                    </w:rPr>
                  </w:pPr>
                  <w:r>
                    <w:rPr>
                      <w:color w:val="auto"/>
                      <w:kern w:val="0"/>
                      <w:szCs w:val="21"/>
                      <w:highlight w:val="none"/>
                    </w:rPr>
                    <w:t>规格型号</w:t>
                  </w:r>
                </w:p>
              </w:tc>
              <w:tc>
                <w:tcPr>
                  <w:tcW w:w="1559" w:type="dxa"/>
                  <w:shd w:val="clear" w:color="auto" w:fill="auto"/>
                  <w:vAlign w:val="center"/>
                </w:tcPr>
                <w:p>
                  <w:pPr>
                    <w:widowControl/>
                    <w:jc w:val="center"/>
                    <w:rPr>
                      <w:color w:val="auto"/>
                      <w:kern w:val="0"/>
                      <w:szCs w:val="21"/>
                      <w:highlight w:val="none"/>
                    </w:rPr>
                  </w:pPr>
                  <w:r>
                    <w:rPr>
                      <w:color w:val="auto"/>
                      <w:kern w:val="0"/>
                      <w:szCs w:val="21"/>
                      <w:highlight w:val="none"/>
                    </w:rPr>
                    <w:t>数量（台套）</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436"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中央供料系统</w:t>
                  </w:r>
                </w:p>
              </w:tc>
              <w:tc>
                <w:tcPr>
                  <w:tcW w:w="226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c>
                <w:tcPr>
                  <w:tcW w:w="155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w:t>
                  </w:r>
                </w:p>
              </w:tc>
              <w:tc>
                <w:tcPr>
                  <w:tcW w:w="2436"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注塑机</w:t>
                  </w:r>
                </w:p>
              </w:tc>
              <w:tc>
                <w:tcPr>
                  <w:tcW w:w="226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420To</w:t>
                  </w:r>
                </w:p>
              </w:tc>
              <w:tc>
                <w:tcPr>
                  <w:tcW w:w="155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6</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3</w:t>
                  </w:r>
                </w:p>
              </w:tc>
              <w:tc>
                <w:tcPr>
                  <w:tcW w:w="2436"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注塑机</w:t>
                  </w:r>
                </w:p>
              </w:tc>
              <w:tc>
                <w:tcPr>
                  <w:tcW w:w="226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210To</w:t>
                  </w:r>
                </w:p>
              </w:tc>
              <w:tc>
                <w:tcPr>
                  <w:tcW w:w="155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16</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4</w:t>
                  </w:r>
                </w:p>
              </w:tc>
              <w:tc>
                <w:tcPr>
                  <w:tcW w:w="2436"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装配线</w:t>
                  </w:r>
                </w:p>
              </w:tc>
              <w:tc>
                <w:tcPr>
                  <w:tcW w:w="226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c>
                <w:tcPr>
                  <w:tcW w:w="155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4</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18" w:type="dxa"/>
                  <w:gridSpan w:val="5"/>
                  <w:shd w:val="clear" w:color="auto" w:fill="auto"/>
                  <w:vAlign w:val="center"/>
                </w:tcPr>
                <w:p>
                  <w:pPr>
                    <w:widowControl/>
                    <w:jc w:val="left"/>
                    <w:rPr>
                      <w:color w:val="auto"/>
                      <w:kern w:val="0"/>
                      <w:szCs w:val="21"/>
                      <w:highlight w:val="none"/>
                    </w:rPr>
                  </w:pPr>
                  <w:r>
                    <w:rPr>
                      <w:rFonts w:hint="eastAsia"/>
                      <w:b/>
                      <w:color w:val="auto"/>
                      <w:kern w:val="0"/>
                      <w:szCs w:val="21"/>
                      <w:highlight w:val="none"/>
                    </w:rPr>
                    <w:t>五、轮毂轴承3代主要生产设备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36" w:type="dxa"/>
                  <w:shd w:val="clear" w:color="auto" w:fill="auto"/>
                  <w:vAlign w:val="center"/>
                </w:tcPr>
                <w:p>
                  <w:pPr>
                    <w:widowControl/>
                    <w:jc w:val="center"/>
                    <w:rPr>
                      <w:color w:val="auto"/>
                      <w:kern w:val="0"/>
                      <w:szCs w:val="21"/>
                      <w:highlight w:val="none"/>
                    </w:rPr>
                  </w:pPr>
                  <w:r>
                    <w:rPr>
                      <w:color w:val="auto"/>
                      <w:kern w:val="0"/>
                      <w:szCs w:val="21"/>
                      <w:highlight w:val="none"/>
                    </w:rPr>
                    <w:t>设备名称</w:t>
                  </w:r>
                </w:p>
              </w:tc>
              <w:tc>
                <w:tcPr>
                  <w:tcW w:w="2268" w:type="dxa"/>
                  <w:shd w:val="clear" w:color="auto" w:fill="auto"/>
                  <w:vAlign w:val="center"/>
                </w:tcPr>
                <w:p>
                  <w:pPr>
                    <w:widowControl/>
                    <w:jc w:val="center"/>
                    <w:rPr>
                      <w:color w:val="auto"/>
                      <w:kern w:val="0"/>
                      <w:szCs w:val="21"/>
                      <w:highlight w:val="none"/>
                    </w:rPr>
                  </w:pPr>
                  <w:r>
                    <w:rPr>
                      <w:color w:val="auto"/>
                      <w:kern w:val="0"/>
                      <w:szCs w:val="21"/>
                      <w:highlight w:val="none"/>
                    </w:rPr>
                    <w:t>规格型号</w:t>
                  </w:r>
                </w:p>
              </w:tc>
              <w:tc>
                <w:tcPr>
                  <w:tcW w:w="1559" w:type="dxa"/>
                  <w:shd w:val="clear" w:color="auto" w:fill="auto"/>
                  <w:vAlign w:val="center"/>
                </w:tcPr>
                <w:p>
                  <w:pPr>
                    <w:widowControl/>
                    <w:jc w:val="center"/>
                    <w:rPr>
                      <w:color w:val="auto"/>
                      <w:kern w:val="0"/>
                      <w:szCs w:val="21"/>
                      <w:highlight w:val="none"/>
                    </w:rPr>
                  </w:pPr>
                  <w:r>
                    <w:rPr>
                      <w:color w:val="auto"/>
                      <w:kern w:val="0"/>
                      <w:szCs w:val="21"/>
                      <w:highlight w:val="none"/>
                    </w:rPr>
                    <w:t>数量（台套）</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清洗机（</w:t>
                  </w:r>
                  <w:r>
                    <w:rPr>
                      <w:color w:val="auto"/>
                      <w:spacing w:val="6"/>
                      <w:highlight w:val="none"/>
                    </w:rPr>
                    <w:t>感应淬火前</w:t>
                  </w:r>
                  <w:r>
                    <w:rPr>
                      <w:rFonts w:hint="eastAsia"/>
                      <w:color w:val="auto"/>
                      <w:spacing w:val="6"/>
                      <w:highlight w:val="none"/>
                    </w:rPr>
                    <w:t>）</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感应</w:t>
                  </w:r>
                  <w:r>
                    <w:rPr>
                      <w:color w:val="auto"/>
                      <w:spacing w:val="6"/>
                      <w:highlight w:val="none"/>
                    </w:rPr>
                    <w:t>淬火</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R</w:t>
                  </w:r>
                  <w:r>
                    <w:rPr>
                      <w:color w:val="auto"/>
                      <w:spacing w:val="6"/>
                      <w:highlight w:val="none"/>
                    </w:rPr>
                    <w:t>T-710.3Z</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4</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3</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涡轮探伤</w:t>
                  </w:r>
                  <w:r>
                    <w:rPr>
                      <w:color w:val="auto"/>
                      <w:spacing w:val="6"/>
                      <w:highlight w:val="none"/>
                    </w:rPr>
                    <w:t>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I</w:t>
                  </w:r>
                  <w:r>
                    <w:rPr>
                      <w:color w:val="auto"/>
                      <w:spacing w:val="6"/>
                      <w:highlight w:val="none"/>
                    </w:rPr>
                    <w:t>BG ECT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4</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协和</w:t>
                  </w:r>
                  <w:r>
                    <w:rPr>
                      <w:color w:val="auto"/>
                      <w:spacing w:val="6"/>
                      <w:highlight w:val="none"/>
                    </w:rPr>
                    <w:t>精车</w:t>
                  </w:r>
                </w:p>
              </w:tc>
              <w:tc>
                <w:tcPr>
                  <w:tcW w:w="2268" w:type="dxa"/>
                  <w:shd w:val="clear" w:color="auto" w:fill="auto"/>
                  <w:vAlign w:val="center"/>
                </w:tcPr>
                <w:p>
                  <w:pPr>
                    <w:jc w:val="center"/>
                    <w:rPr>
                      <w:color w:val="auto"/>
                      <w:spacing w:val="6"/>
                      <w:highlight w:val="none"/>
                    </w:rPr>
                  </w:pPr>
                  <w:r>
                    <w:rPr>
                      <w:color w:val="auto"/>
                      <w:spacing w:val="6"/>
                      <w:highlight w:val="none"/>
                    </w:rPr>
                    <w:t>VDZ</w:t>
                  </w:r>
                </w:p>
                <w:p>
                  <w:pPr>
                    <w:jc w:val="center"/>
                    <w:rPr>
                      <w:color w:val="auto"/>
                      <w:spacing w:val="6"/>
                      <w:highlight w:val="none"/>
                    </w:rPr>
                  </w:pPr>
                  <w:r>
                    <w:rPr>
                      <w:color w:val="auto"/>
                      <w:spacing w:val="6"/>
                      <w:highlight w:val="none"/>
                    </w:rPr>
                    <w:t>100 DS</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4</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5</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协和</w:t>
                  </w:r>
                  <w:r>
                    <w:rPr>
                      <w:color w:val="auto"/>
                      <w:spacing w:val="6"/>
                      <w:highlight w:val="none"/>
                    </w:rPr>
                    <w:t>中径车</w:t>
                  </w:r>
                </w:p>
              </w:tc>
              <w:tc>
                <w:tcPr>
                  <w:tcW w:w="2268" w:type="dxa"/>
                  <w:shd w:val="clear" w:color="auto" w:fill="auto"/>
                  <w:vAlign w:val="center"/>
                </w:tcPr>
                <w:p>
                  <w:pPr>
                    <w:jc w:val="center"/>
                    <w:rPr>
                      <w:color w:val="auto"/>
                      <w:spacing w:val="6"/>
                      <w:highlight w:val="none"/>
                    </w:rPr>
                  </w:pPr>
                  <w:r>
                    <w:rPr>
                      <w:color w:val="auto"/>
                      <w:spacing w:val="6"/>
                      <w:highlight w:val="none"/>
                    </w:rPr>
                    <w:t>VDZ</w:t>
                  </w:r>
                </w:p>
                <w:p>
                  <w:pPr>
                    <w:jc w:val="center"/>
                    <w:rPr>
                      <w:color w:val="auto"/>
                      <w:spacing w:val="6"/>
                      <w:highlight w:val="none"/>
                    </w:rPr>
                  </w:pPr>
                  <w:r>
                    <w:rPr>
                      <w:color w:val="auto"/>
                      <w:spacing w:val="6"/>
                      <w:highlight w:val="none"/>
                    </w:rPr>
                    <w:t>100 DS</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6</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钻孔机床</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5组</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7</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螺纹</w:t>
                  </w:r>
                  <w:r>
                    <w:rPr>
                      <w:color w:val="auto"/>
                      <w:spacing w:val="6"/>
                      <w:highlight w:val="none"/>
                    </w:rPr>
                    <w:t>检测</w:t>
                  </w:r>
                  <w:r>
                    <w:rPr>
                      <w:rFonts w:hint="eastAsia"/>
                      <w:color w:val="auto"/>
                      <w:spacing w:val="6"/>
                      <w:highlight w:val="none"/>
                    </w:rPr>
                    <w:t>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G</w:t>
                  </w:r>
                  <w:r>
                    <w:rPr>
                      <w:color w:val="auto"/>
                      <w:spacing w:val="6"/>
                      <w:highlight w:val="none"/>
                    </w:rPr>
                    <w:t>KM-14008</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8</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倒角</w:t>
                  </w:r>
                  <w:r>
                    <w:rPr>
                      <w:color w:val="auto"/>
                      <w:spacing w:val="6"/>
                      <w:highlight w:val="none"/>
                    </w:rPr>
                    <w:t>车</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E</w:t>
                  </w:r>
                  <w:r>
                    <w:rPr>
                      <w:color w:val="auto"/>
                      <w:spacing w:val="6"/>
                      <w:highlight w:val="none"/>
                    </w:rPr>
                    <w:t>DM</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9</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内圈滚道</w:t>
                  </w:r>
                  <w:r>
                    <w:rPr>
                      <w:color w:val="auto"/>
                      <w:spacing w:val="6"/>
                      <w:highlight w:val="none"/>
                    </w:rPr>
                    <w:t>磨</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I</w:t>
                  </w:r>
                  <w:r>
                    <w:rPr>
                      <w:color w:val="auto"/>
                      <w:spacing w:val="6"/>
                      <w:highlight w:val="none"/>
                    </w:rPr>
                    <w:t>RR</w:t>
                  </w:r>
                </w:p>
              </w:tc>
              <w:tc>
                <w:tcPr>
                  <w:tcW w:w="1559" w:type="dxa"/>
                  <w:shd w:val="clear" w:color="auto" w:fill="auto"/>
                  <w:vAlign w:val="center"/>
                </w:tcPr>
                <w:p>
                  <w:pPr>
                    <w:jc w:val="center"/>
                    <w:rPr>
                      <w:color w:val="auto"/>
                      <w:spacing w:val="6"/>
                      <w:highlight w:val="none"/>
                    </w:rPr>
                  </w:pPr>
                  <w:r>
                    <w:rPr>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10</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内圈内径</w:t>
                  </w:r>
                  <w:r>
                    <w:rPr>
                      <w:color w:val="auto"/>
                      <w:spacing w:val="6"/>
                      <w:highlight w:val="none"/>
                    </w:rPr>
                    <w:t>磨</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A</w:t>
                  </w:r>
                  <w:r>
                    <w:rPr>
                      <w:color w:val="auto"/>
                      <w:spacing w:val="6"/>
                      <w:highlight w:val="none"/>
                    </w:rPr>
                    <w:t>LS-1C</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11</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清洗</w:t>
                  </w:r>
                  <w:r>
                    <w:rPr>
                      <w:color w:val="auto"/>
                      <w:spacing w:val="6"/>
                      <w:highlight w:val="none"/>
                    </w:rPr>
                    <w:t>机（磨削后）</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color w:val="auto"/>
                      <w:spacing w:val="6"/>
                      <w:highlight w:val="none"/>
                    </w:rPr>
                    <w:t>3</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12</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内圈滚道</w:t>
                  </w:r>
                  <w:r>
                    <w:rPr>
                      <w:color w:val="auto"/>
                      <w:spacing w:val="6"/>
                      <w:highlight w:val="none"/>
                    </w:rPr>
                    <w:t>超精</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H</w:t>
                  </w:r>
                  <w:r>
                    <w:rPr>
                      <w:color w:val="auto"/>
                      <w:spacing w:val="6"/>
                      <w:highlight w:val="none"/>
                    </w:rPr>
                    <w:t>M2NC</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13</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内孔</w:t>
                  </w:r>
                  <w:r>
                    <w:rPr>
                      <w:color w:val="auto"/>
                      <w:spacing w:val="6"/>
                      <w:highlight w:val="none"/>
                    </w:rPr>
                    <w:t>100%测量</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A</w:t>
                  </w:r>
                  <w:r>
                    <w:rPr>
                      <w:color w:val="auto"/>
                      <w:spacing w:val="6"/>
                      <w:highlight w:val="none"/>
                    </w:rPr>
                    <w:t>BM120</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14</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清洗</w:t>
                  </w:r>
                  <w:r>
                    <w:rPr>
                      <w:color w:val="auto"/>
                      <w:spacing w:val="6"/>
                      <w:highlight w:val="none"/>
                    </w:rPr>
                    <w:t>机（超精后）</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3</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15</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外圈</w:t>
                  </w:r>
                  <w:r>
                    <w:rPr>
                      <w:color w:val="auto"/>
                      <w:spacing w:val="6"/>
                      <w:highlight w:val="none"/>
                    </w:rPr>
                    <w:t>滚道磨</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M</w:t>
                  </w:r>
                  <w:r>
                    <w:rPr>
                      <w:color w:val="auto"/>
                      <w:spacing w:val="6"/>
                      <w:highlight w:val="none"/>
                    </w:rPr>
                    <w:t>IG150</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3</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16</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外圈滚道</w:t>
                  </w:r>
                  <w:r>
                    <w:rPr>
                      <w:color w:val="auto"/>
                      <w:spacing w:val="6"/>
                      <w:highlight w:val="none"/>
                    </w:rPr>
                    <w:t>超精</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H</w:t>
                  </w:r>
                  <w:r>
                    <w:rPr>
                      <w:color w:val="auto"/>
                      <w:spacing w:val="6"/>
                      <w:highlight w:val="none"/>
                    </w:rPr>
                    <w:t>M150</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17</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法兰</w:t>
                  </w:r>
                  <w:r>
                    <w:rPr>
                      <w:color w:val="auto"/>
                      <w:spacing w:val="6"/>
                      <w:highlight w:val="none"/>
                    </w:rPr>
                    <w:t>滚道磨</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M</w:t>
                  </w:r>
                  <w:r>
                    <w:rPr>
                      <w:color w:val="auto"/>
                      <w:spacing w:val="6"/>
                      <w:highlight w:val="none"/>
                    </w:rPr>
                    <w:t>EG180</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3</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18</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法兰</w:t>
                  </w:r>
                  <w:r>
                    <w:rPr>
                      <w:color w:val="auto"/>
                      <w:spacing w:val="6"/>
                      <w:highlight w:val="none"/>
                    </w:rPr>
                    <w:t>超精</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H</w:t>
                  </w:r>
                  <w:r>
                    <w:rPr>
                      <w:color w:val="auto"/>
                      <w:spacing w:val="6"/>
                      <w:highlight w:val="none"/>
                    </w:rPr>
                    <w:t>M180</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19</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压</w:t>
                  </w:r>
                  <w:r>
                    <w:rPr>
                      <w:color w:val="auto"/>
                      <w:spacing w:val="6"/>
                      <w:highlight w:val="none"/>
                    </w:rPr>
                    <w:t>螺栓</w:t>
                  </w:r>
                  <w:r>
                    <w:rPr>
                      <w:rFonts w:hint="eastAsia"/>
                      <w:color w:val="auto"/>
                      <w:spacing w:val="6"/>
                      <w:highlight w:val="none"/>
                    </w:rPr>
                    <w:t>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B</w:t>
                  </w:r>
                  <w:r>
                    <w:rPr>
                      <w:color w:val="auto"/>
                      <w:spacing w:val="6"/>
                      <w:highlight w:val="none"/>
                    </w:rPr>
                    <w:t>MM</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20</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预装配</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M</w:t>
                  </w:r>
                  <w:r>
                    <w:rPr>
                      <w:color w:val="auto"/>
                      <w:spacing w:val="6"/>
                      <w:highlight w:val="none"/>
                    </w:rPr>
                    <w:t>VM</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21</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旋压</w:t>
                  </w:r>
                  <w:r>
                    <w:rPr>
                      <w:color w:val="auto"/>
                      <w:spacing w:val="6"/>
                      <w:highlight w:val="none"/>
                    </w:rPr>
                    <w:t>机</w:t>
                  </w:r>
                </w:p>
              </w:tc>
              <w:tc>
                <w:tcPr>
                  <w:tcW w:w="2268" w:type="dxa"/>
                  <w:shd w:val="clear" w:color="auto" w:fill="auto"/>
                  <w:vAlign w:val="center"/>
                </w:tcPr>
                <w:p>
                  <w:pPr>
                    <w:jc w:val="center"/>
                    <w:rPr>
                      <w:color w:val="auto"/>
                      <w:spacing w:val="6"/>
                      <w:highlight w:val="none"/>
                    </w:rPr>
                  </w:pPr>
                  <w:r>
                    <w:rPr>
                      <w:color w:val="auto"/>
                      <w:spacing w:val="6"/>
                      <w:highlight w:val="none"/>
                    </w:rPr>
                    <w:t>Orbital forming</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22</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预紧</w:t>
                  </w:r>
                  <w:r>
                    <w:rPr>
                      <w:color w:val="auto"/>
                      <w:spacing w:val="6"/>
                      <w:highlight w:val="none"/>
                    </w:rPr>
                    <w:t>力</w:t>
                  </w:r>
                  <w:r>
                    <w:rPr>
                      <w:rFonts w:hint="eastAsia"/>
                      <w:color w:val="auto"/>
                      <w:spacing w:val="6"/>
                      <w:highlight w:val="none"/>
                    </w:rPr>
                    <w:t>（游隙</w:t>
                  </w:r>
                  <w:r>
                    <w:rPr>
                      <w:color w:val="auto"/>
                      <w:spacing w:val="6"/>
                      <w:highlight w:val="none"/>
                    </w:rPr>
                    <w:t>检测</w:t>
                  </w:r>
                  <w:r>
                    <w:rPr>
                      <w:rFonts w:hint="eastAsia"/>
                      <w:color w:val="auto"/>
                      <w:spacing w:val="6"/>
                      <w:highlight w:val="none"/>
                    </w:rPr>
                    <w:t>）</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P</w:t>
                  </w:r>
                  <w:r>
                    <w:rPr>
                      <w:color w:val="auto"/>
                      <w:spacing w:val="6"/>
                      <w:highlight w:val="none"/>
                    </w:rPr>
                    <w:t>M</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23</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拉齿</w:t>
                  </w:r>
                  <w:r>
                    <w:rPr>
                      <w:color w:val="auto"/>
                      <w:spacing w:val="6"/>
                      <w:highlight w:val="none"/>
                    </w:rPr>
                    <w:t>机</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B</w:t>
                  </w:r>
                  <w:r>
                    <w:rPr>
                      <w:color w:val="auto"/>
                      <w:spacing w:val="6"/>
                      <w:highlight w:val="none"/>
                    </w:rPr>
                    <w:t>roaching</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24</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跳动</w:t>
                  </w:r>
                  <w:r>
                    <w:rPr>
                      <w:color w:val="auto"/>
                      <w:spacing w:val="6"/>
                      <w:highlight w:val="none"/>
                    </w:rPr>
                    <w:t>车</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E</w:t>
                  </w:r>
                  <w:r>
                    <w:rPr>
                      <w:color w:val="auto"/>
                      <w:spacing w:val="6"/>
                      <w:highlight w:val="none"/>
                    </w:rPr>
                    <w:t>MAG</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2</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25</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1</w:t>
                  </w:r>
                  <w:r>
                    <w:rPr>
                      <w:color w:val="auto"/>
                      <w:spacing w:val="6"/>
                      <w:highlight w:val="none"/>
                    </w:rPr>
                    <w:t>00%检测</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D</w:t>
                  </w:r>
                  <w:r>
                    <w:rPr>
                      <w:color w:val="auto"/>
                      <w:spacing w:val="6"/>
                      <w:highlight w:val="none"/>
                    </w:rPr>
                    <w:t>MMM</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26</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清洗</w:t>
                  </w:r>
                  <w:r>
                    <w:rPr>
                      <w:color w:val="auto"/>
                      <w:spacing w:val="6"/>
                      <w:highlight w:val="none"/>
                    </w:rPr>
                    <w:t>机</w:t>
                  </w:r>
                  <w:r>
                    <w:rPr>
                      <w:rFonts w:hint="eastAsia"/>
                      <w:color w:val="auto"/>
                      <w:spacing w:val="6"/>
                      <w:highlight w:val="none"/>
                    </w:rPr>
                    <w:t>（</w:t>
                  </w:r>
                  <w:r>
                    <w:rPr>
                      <w:color w:val="auto"/>
                      <w:spacing w:val="6"/>
                      <w:highlight w:val="none"/>
                    </w:rPr>
                    <w:t>装配）</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w:t>
                  </w:r>
                  <w:r>
                    <w:rPr>
                      <w:color w:val="auto"/>
                      <w:spacing w:val="6"/>
                      <w:highlight w:val="none"/>
                    </w:rPr>
                    <w:t>AM</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27</w:t>
                  </w:r>
                </w:p>
              </w:tc>
              <w:tc>
                <w:tcPr>
                  <w:tcW w:w="2436" w:type="dxa"/>
                  <w:shd w:val="clear" w:color="auto" w:fill="auto"/>
                  <w:vAlign w:val="center"/>
                </w:tcPr>
                <w:p>
                  <w:pPr>
                    <w:jc w:val="center"/>
                    <w:rPr>
                      <w:color w:val="auto"/>
                      <w:spacing w:val="6"/>
                      <w:highlight w:val="none"/>
                    </w:rPr>
                  </w:pPr>
                  <w:r>
                    <w:rPr>
                      <w:color w:val="auto"/>
                      <w:spacing w:val="6"/>
                      <w:highlight w:val="none"/>
                    </w:rPr>
                    <w:t>ABS</w:t>
                  </w:r>
                  <w:r>
                    <w:rPr>
                      <w:rFonts w:hint="eastAsia"/>
                      <w:color w:val="auto"/>
                      <w:spacing w:val="6"/>
                      <w:highlight w:val="none"/>
                    </w:rPr>
                    <w:t>检测</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M</w:t>
                  </w:r>
                  <w:r>
                    <w:rPr>
                      <w:color w:val="auto"/>
                      <w:spacing w:val="6"/>
                      <w:highlight w:val="none"/>
                    </w:rPr>
                    <w:t>PM1</w:t>
                  </w:r>
                </w:p>
              </w:tc>
              <w:tc>
                <w:tcPr>
                  <w:tcW w:w="1559" w:type="dxa"/>
                  <w:shd w:val="clear" w:color="auto" w:fill="auto"/>
                  <w:vAlign w:val="center"/>
                </w:tcPr>
                <w:p>
                  <w:pPr>
                    <w:jc w:val="center"/>
                    <w:rPr>
                      <w:color w:val="auto"/>
                      <w:spacing w:val="6"/>
                      <w:highlight w:val="none"/>
                    </w:rPr>
                  </w:pPr>
                  <w:r>
                    <w:rPr>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28</w:t>
                  </w:r>
                </w:p>
              </w:tc>
              <w:tc>
                <w:tcPr>
                  <w:tcW w:w="2436" w:type="dxa"/>
                  <w:shd w:val="clear" w:color="auto" w:fill="auto"/>
                  <w:vAlign w:val="center"/>
                </w:tcPr>
                <w:p>
                  <w:pPr>
                    <w:jc w:val="center"/>
                    <w:rPr>
                      <w:color w:val="auto"/>
                      <w:spacing w:val="6"/>
                      <w:highlight w:val="none"/>
                    </w:rPr>
                  </w:pPr>
                  <w:r>
                    <w:rPr>
                      <w:rFonts w:hint="eastAsia"/>
                      <w:color w:val="auto"/>
                      <w:spacing w:val="6"/>
                      <w:highlight w:val="none"/>
                    </w:rPr>
                    <w:t>刻字</w:t>
                  </w:r>
                  <w:r>
                    <w:rPr>
                      <w:color w:val="auto"/>
                      <w:spacing w:val="6"/>
                      <w:highlight w:val="none"/>
                    </w:rPr>
                    <w:t>噪音</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M</w:t>
                  </w:r>
                  <w:r>
                    <w:rPr>
                      <w:color w:val="auto"/>
                      <w:spacing w:val="6"/>
                      <w:highlight w:val="none"/>
                    </w:rPr>
                    <w:t>PM2</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18" w:type="dxa"/>
                  <w:gridSpan w:val="5"/>
                  <w:shd w:val="clear" w:color="auto" w:fill="auto"/>
                  <w:vAlign w:val="center"/>
                </w:tcPr>
                <w:p>
                  <w:pPr>
                    <w:widowControl/>
                    <w:jc w:val="left"/>
                    <w:rPr>
                      <w:color w:val="auto"/>
                      <w:kern w:val="0"/>
                      <w:szCs w:val="21"/>
                      <w:highlight w:val="none"/>
                    </w:rPr>
                  </w:pPr>
                  <w:r>
                    <w:rPr>
                      <w:rFonts w:hint="eastAsia"/>
                      <w:b/>
                      <w:color w:val="auto"/>
                      <w:kern w:val="0"/>
                      <w:szCs w:val="21"/>
                      <w:highlight w:val="none"/>
                    </w:rPr>
                    <w:t>六、悬架轴承主要生产设备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36" w:type="dxa"/>
                  <w:shd w:val="clear" w:color="auto" w:fill="auto"/>
                  <w:vAlign w:val="center"/>
                </w:tcPr>
                <w:p>
                  <w:pPr>
                    <w:widowControl/>
                    <w:jc w:val="center"/>
                    <w:rPr>
                      <w:color w:val="auto"/>
                      <w:kern w:val="0"/>
                      <w:szCs w:val="21"/>
                      <w:highlight w:val="none"/>
                    </w:rPr>
                  </w:pPr>
                  <w:r>
                    <w:rPr>
                      <w:color w:val="auto"/>
                      <w:kern w:val="0"/>
                      <w:szCs w:val="21"/>
                      <w:highlight w:val="none"/>
                    </w:rPr>
                    <w:t>设备名称</w:t>
                  </w:r>
                </w:p>
              </w:tc>
              <w:tc>
                <w:tcPr>
                  <w:tcW w:w="2268" w:type="dxa"/>
                  <w:shd w:val="clear" w:color="auto" w:fill="auto"/>
                  <w:vAlign w:val="center"/>
                </w:tcPr>
                <w:p>
                  <w:pPr>
                    <w:widowControl/>
                    <w:jc w:val="center"/>
                    <w:rPr>
                      <w:color w:val="auto"/>
                      <w:kern w:val="0"/>
                      <w:szCs w:val="21"/>
                      <w:highlight w:val="none"/>
                    </w:rPr>
                  </w:pPr>
                  <w:r>
                    <w:rPr>
                      <w:color w:val="auto"/>
                      <w:kern w:val="0"/>
                      <w:szCs w:val="21"/>
                      <w:highlight w:val="none"/>
                    </w:rPr>
                    <w:t>规格型号</w:t>
                  </w:r>
                </w:p>
              </w:tc>
              <w:tc>
                <w:tcPr>
                  <w:tcW w:w="1559" w:type="dxa"/>
                  <w:shd w:val="clear" w:color="auto" w:fill="auto"/>
                  <w:vAlign w:val="center"/>
                </w:tcPr>
                <w:p>
                  <w:pPr>
                    <w:widowControl/>
                    <w:jc w:val="center"/>
                    <w:rPr>
                      <w:color w:val="auto"/>
                      <w:kern w:val="0"/>
                      <w:szCs w:val="21"/>
                      <w:highlight w:val="none"/>
                    </w:rPr>
                  </w:pPr>
                  <w:r>
                    <w:rPr>
                      <w:color w:val="auto"/>
                      <w:kern w:val="0"/>
                      <w:szCs w:val="21"/>
                      <w:highlight w:val="none"/>
                    </w:rPr>
                    <w:t>数量（台套）</w:t>
                  </w:r>
                </w:p>
              </w:tc>
              <w:tc>
                <w:tcPr>
                  <w:tcW w:w="2626" w:type="dxa"/>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9"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436" w:type="dxa"/>
                  <w:shd w:val="clear" w:color="auto" w:fill="auto"/>
                  <w:vAlign w:val="center"/>
                </w:tcPr>
                <w:p>
                  <w:pPr>
                    <w:adjustRightInd w:val="0"/>
                    <w:jc w:val="center"/>
                    <w:rPr>
                      <w:color w:val="auto"/>
                      <w:spacing w:val="6"/>
                      <w:highlight w:val="none"/>
                    </w:rPr>
                  </w:pPr>
                  <w:r>
                    <w:rPr>
                      <w:rFonts w:hint="eastAsia"/>
                      <w:bCs/>
                      <w:color w:val="auto"/>
                      <w:kern w:val="0"/>
                      <w:szCs w:val="21"/>
                      <w:highlight w:val="none"/>
                      <w:lang w:val="zh-CN"/>
                    </w:rPr>
                    <w:t>装配线</w:t>
                  </w:r>
                </w:p>
              </w:tc>
              <w:tc>
                <w:tcPr>
                  <w:tcW w:w="2268" w:type="dxa"/>
                  <w:shd w:val="clear" w:color="auto" w:fill="auto"/>
                  <w:vAlign w:val="center"/>
                </w:tcPr>
                <w:p>
                  <w:pPr>
                    <w:jc w:val="center"/>
                    <w:rPr>
                      <w:color w:val="auto"/>
                      <w:spacing w:val="6"/>
                      <w:highlight w:val="none"/>
                    </w:rPr>
                  </w:pPr>
                  <w:r>
                    <w:rPr>
                      <w:rFonts w:hint="eastAsia"/>
                      <w:color w:val="auto"/>
                      <w:spacing w:val="6"/>
                      <w:highlight w:val="none"/>
                    </w:rPr>
                    <w:t>/</w:t>
                  </w:r>
                </w:p>
              </w:tc>
              <w:tc>
                <w:tcPr>
                  <w:tcW w:w="1559" w:type="dxa"/>
                  <w:shd w:val="clear" w:color="auto" w:fill="auto"/>
                  <w:vAlign w:val="center"/>
                </w:tcPr>
                <w:p>
                  <w:pPr>
                    <w:jc w:val="center"/>
                    <w:rPr>
                      <w:color w:val="auto"/>
                      <w:spacing w:val="6"/>
                      <w:highlight w:val="none"/>
                    </w:rPr>
                  </w:pPr>
                  <w:r>
                    <w:rPr>
                      <w:rFonts w:hint="eastAsia"/>
                      <w:color w:val="auto"/>
                      <w:spacing w:val="6"/>
                      <w:highlight w:val="none"/>
                    </w:rPr>
                    <w:t>1</w:t>
                  </w:r>
                </w:p>
              </w:tc>
              <w:tc>
                <w:tcPr>
                  <w:tcW w:w="2626" w:type="dxa"/>
                  <w:vAlign w:val="center"/>
                </w:tcPr>
                <w:p>
                  <w:pPr>
                    <w:jc w:val="center"/>
                    <w:rPr>
                      <w:color w:val="auto"/>
                      <w:spacing w:val="6"/>
                      <w:highlight w:val="none"/>
                    </w:rPr>
                  </w:pPr>
                  <w:r>
                    <w:rPr>
                      <w:rFonts w:hint="eastAsia"/>
                      <w:color w:val="auto"/>
                      <w:spacing w:val="6"/>
                      <w:highlight w:val="none"/>
                    </w:rPr>
                    <w:t>/</w:t>
                  </w:r>
                </w:p>
              </w:tc>
            </w:tr>
          </w:tbl>
          <w:p>
            <w:pPr>
              <w:snapToGrid w:val="0"/>
              <w:jc w:val="center"/>
              <w:rPr>
                <w:b/>
                <w:color w:val="auto"/>
                <w:sz w:val="24"/>
                <w:highlight w:val="none"/>
              </w:rPr>
            </w:pP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1.</w:t>
            </w:r>
            <w:r>
              <w:rPr>
                <w:b/>
                <w:color w:val="auto"/>
                <w:spacing w:val="4"/>
                <w:sz w:val="24"/>
                <w:szCs w:val="24"/>
                <w:highlight w:val="none"/>
              </w:rPr>
              <w:t>2.</w:t>
            </w:r>
            <w:r>
              <w:rPr>
                <w:rFonts w:hint="eastAsia"/>
                <w:b/>
                <w:color w:val="auto"/>
                <w:spacing w:val="4"/>
                <w:sz w:val="24"/>
                <w:szCs w:val="24"/>
                <w:highlight w:val="none"/>
              </w:rPr>
              <w:t>4</w:t>
            </w:r>
            <w:r>
              <w:rPr>
                <w:b/>
                <w:color w:val="auto"/>
                <w:spacing w:val="4"/>
                <w:sz w:val="24"/>
                <w:szCs w:val="24"/>
                <w:highlight w:val="none"/>
              </w:rPr>
              <w:t xml:space="preserve"> </w:t>
            </w:r>
            <w:r>
              <w:rPr>
                <w:rFonts w:hint="eastAsia"/>
                <w:b/>
                <w:color w:val="auto"/>
                <w:spacing w:val="4"/>
                <w:sz w:val="24"/>
                <w:szCs w:val="24"/>
                <w:highlight w:val="none"/>
              </w:rPr>
              <w:t>项目主要原辅材料</w:t>
            </w:r>
          </w:p>
          <w:p>
            <w:pPr>
              <w:spacing w:line="360" w:lineRule="auto"/>
              <w:ind w:firstLine="480" w:firstLineChars="200"/>
              <w:rPr>
                <w:color w:val="auto"/>
                <w:sz w:val="24"/>
                <w:highlight w:val="none"/>
              </w:rPr>
            </w:pPr>
            <w:r>
              <w:rPr>
                <w:rFonts w:hint="eastAsia"/>
                <w:color w:val="auto"/>
                <w:sz w:val="24"/>
                <w:highlight w:val="none"/>
              </w:rPr>
              <w:t>本项目主要原辅材料用量一览表如下表1-5：</w:t>
            </w:r>
          </w:p>
          <w:p>
            <w:pPr>
              <w:snapToGrid w:val="0"/>
              <w:spacing w:line="360" w:lineRule="auto"/>
              <w:jc w:val="center"/>
              <w:rPr>
                <w:b/>
                <w:color w:val="auto"/>
                <w:sz w:val="24"/>
                <w:highlight w:val="none"/>
              </w:rPr>
            </w:pPr>
            <w:r>
              <w:rPr>
                <w:rFonts w:hint="eastAsia"/>
                <w:b/>
                <w:color w:val="auto"/>
                <w:sz w:val="24"/>
                <w:highlight w:val="none"/>
              </w:rPr>
              <w:t>表1-5  主要原辅材料用量一览表</w:t>
            </w:r>
          </w:p>
          <w:tbl>
            <w:tblPr>
              <w:tblStyle w:val="29"/>
              <w:tblW w:w="1000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451"/>
              <w:gridCol w:w="1397"/>
              <w:gridCol w:w="5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07" w:type="dxa"/>
                  <w:gridSpan w:val="4"/>
                  <w:shd w:val="clear" w:color="auto" w:fill="auto"/>
                  <w:vAlign w:val="center"/>
                </w:tcPr>
                <w:p>
                  <w:pPr>
                    <w:widowControl/>
                    <w:jc w:val="left"/>
                    <w:rPr>
                      <w:b/>
                      <w:color w:val="auto"/>
                      <w:kern w:val="0"/>
                      <w:szCs w:val="21"/>
                      <w:highlight w:val="none"/>
                    </w:rPr>
                  </w:pPr>
                  <w:r>
                    <w:rPr>
                      <w:rFonts w:hint="eastAsia"/>
                      <w:b/>
                      <w:color w:val="auto"/>
                      <w:kern w:val="0"/>
                      <w:szCs w:val="21"/>
                      <w:highlight w:val="none"/>
                    </w:rPr>
                    <w:t>一、滚子摇臂主要原辅材料：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5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原辅材料</w:t>
                  </w:r>
                  <w:r>
                    <w:rPr>
                      <w:color w:val="auto"/>
                      <w:kern w:val="0"/>
                      <w:szCs w:val="21"/>
                      <w:highlight w:val="none"/>
                    </w:rPr>
                    <w:t>名称</w:t>
                  </w:r>
                </w:p>
              </w:tc>
              <w:tc>
                <w:tcPr>
                  <w:tcW w:w="1397"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年消耗量</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1</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钢卷</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840吨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2</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钢棒</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160吨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3</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抛光液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2400L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4</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防锈油</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300L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厂区常年存放量为10L，存放于乳化油库区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5</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乳化液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300L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6</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切削油</w:t>
                  </w:r>
                </w:p>
              </w:tc>
              <w:tc>
                <w:tcPr>
                  <w:tcW w:w="1397" w:type="dxa"/>
                  <w:shd w:val="clear" w:color="auto" w:fill="auto"/>
                  <w:vAlign w:val="center"/>
                </w:tcPr>
                <w:p>
                  <w:pPr>
                    <w:jc w:val="center"/>
                    <w:rPr>
                      <w:color w:val="auto"/>
                      <w:spacing w:val="6"/>
                      <w:highlight w:val="none"/>
                      <w:lang w:val="de-DE"/>
                    </w:rPr>
                  </w:pPr>
                  <w:r>
                    <w:rPr>
                      <w:rFonts w:hint="eastAsia"/>
                      <w:color w:val="auto"/>
                      <w:spacing w:val="6"/>
                      <w:highlight w:val="none"/>
                    </w:rPr>
                    <w:t>300L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7</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润滑脂</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150L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厂区常年存放量为10L，存放于乳化油库区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8</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磨削油</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100L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jc w:val="center"/>
                    <w:rPr>
                      <w:color w:val="auto"/>
                      <w:spacing w:val="6"/>
                      <w:highlight w:val="none"/>
                    </w:rPr>
                  </w:pPr>
                  <w:r>
                    <w:rPr>
                      <w:color w:val="auto"/>
                      <w:spacing w:val="6"/>
                      <w:highlight w:val="none"/>
                    </w:rPr>
                    <w:t>9</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油脂（加注到轴承内部）</w:t>
                  </w:r>
                </w:p>
              </w:tc>
              <w:tc>
                <w:tcPr>
                  <w:tcW w:w="1397" w:type="dxa"/>
                  <w:shd w:val="clear" w:color="auto" w:fill="auto"/>
                  <w:vAlign w:val="center"/>
                </w:tcPr>
                <w:p>
                  <w:pPr>
                    <w:jc w:val="center"/>
                    <w:rPr>
                      <w:color w:val="auto"/>
                      <w:spacing w:val="6"/>
                      <w:highlight w:val="none"/>
                    </w:rPr>
                  </w:pPr>
                  <w:r>
                    <w:rPr>
                      <w:color w:val="auto"/>
                      <w:spacing w:val="6"/>
                      <w:highlight w:val="none"/>
                    </w:rPr>
                    <w:t>3</w:t>
                  </w:r>
                  <w:r>
                    <w:rPr>
                      <w:rFonts w:hint="eastAsia"/>
                      <w:color w:val="auto"/>
                      <w:spacing w:val="6"/>
                      <w:highlight w:val="none"/>
                    </w:rPr>
                    <w:t>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w:t>
                  </w:r>
                  <w:r>
                    <w:rPr>
                      <w:color w:val="auto"/>
                      <w:spacing w:val="6"/>
                      <w:highlight w:val="none"/>
                    </w:rPr>
                    <w:t>100kg</w:t>
                  </w:r>
                  <w:r>
                    <w:rPr>
                      <w:rFonts w:hint="eastAsia"/>
                      <w:color w:val="auto"/>
                      <w:spacing w:val="6"/>
                      <w:highlight w:val="none"/>
                    </w:rPr>
                    <w:t>，存放于乳化油库区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jc w:val="center"/>
                    <w:rPr>
                      <w:color w:val="auto"/>
                      <w:spacing w:val="6"/>
                      <w:highlight w:val="none"/>
                    </w:rPr>
                  </w:pPr>
                  <w:r>
                    <w:rPr>
                      <w:color w:val="auto"/>
                      <w:spacing w:val="6"/>
                      <w:highlight w:val="none"/>
                    </w:rPr>
                    <w:t>10</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淬火油</w:t>
                  </w:r>
                </w:p>
              </w:tc>
              <w:tc>
                <w:tcPr>
                  <w:tcW w:w="1397" w:type="dxa"/>
                  <w:shd w:val="clear" w:color="auto" w:fill="auto"/>
                  <w:vAlign w:val="center"/>
                </w:tcPr>
                <w:p>
                  <w:pPr>
                    <w:jc w:val="center"/>
                    <w:rPr>
                      <w:color w:val="auto"/>
                      <w:spacing w:val="6"/>
                      <w:highlight w:val="none"/>
                    </w:rPr>
                  </w:pPr>
                  <w:r>
                    <w:rPr>
                      <w:color w:val="auto"/>
                      <w:spacing w:val="6"/>
                      <w:highlight w:val="none"/>
                    </w:rPr>
                    <w:t>11</w:t>
                  </w:r>
                  <w:r>
                    <w:rPr>
                      <w:rFonts w:hint="eastAsia"/>
                      <w:color w:val="auto"/>
                      <w:spacing w:val="6"/>
                      <w:highlight w:val="none"/>
                    </w:rPr>
                    <w:t>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jc w:val="center"/>
                    <w:rPr>
                      <w:color w:val="auto"/>
                      <w:spacing w:val="6"/>
                      <w:highlight w:val="none"/>
                    </w:rPr>
                  </w:pPr>
                  <w:r>
                    <w:rPr>
                      <w:color w:val="auto"/>
                      <w:spacing w:val="6"/>
                      <w:highlight w:val="none"/>
                    </w:rPr>
                    <w:t>11</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清洗剂</w:t>
                  </w:r>
                </w:p>
              </w:tc>
              <w:tc>
                <w:tcPr>
                  <w:tcW w:w="1397" w:type="dxa"/>
                  <w:shd w:val="clear" w:color="auto" w:fill="auto"/>
                  <w:vAlign w:val="center"/>
                </w:tcPr>
                <w:p>
                  <w:pPr>
                    <w:jc w:val="center"/>
                    <w:rPr>
                      <w:color w:val="auto"/>
                      <w:spacing w:val="6"/>
                      <w:highlight w:val="none"/>
                    </w:rPr>
                  </w:pPr>
                  <w:r>
                    <w:rPr>
                      <w:color w:val="auto"/>
                      <w:spacing w:val="6"/>
                      <w:highlight w:val="none"/>
                    </w:rPr>
                    <w:t>300L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水性及油性清洗剂各占一半，循环使用，定期更换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jc w:val="center"/>
                    <w:rPr>
                      <w:color w:val="auto"/>
                      <w:spacing w:val="6"/>
                      <w:highlight w:val="none"/>
                    </w:rPr>
                  </w:pPr>
                  <w:r>
                    <w:rPr>
                      <w:color w:val="auto"/>
                      <w:spacing w:val="6"/>
                      <w:highlight w:val="none"/>
                    </w:rPr>
                    <w:t>12</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冲压油</w:t>
                  </w:r>
                </w:p>
              </w:tc>
              <w:tc>
                <w:tcPr>
                  <w:tcW w:w="1397" w:type="dxa"/>
                  <w:shd w:val="clear" w:color="auto" w:fill="auto"/>
                  <w:vAlign w:val="center"/>
                </w:tcPr>
                <w:p>
                  <w:pPr>
                    <w:jc w:val="center"/>
                    <w:rPr>
                      <w:color w:val="auto"/>
                      <w:spacing w:val="6"/>
                      <w:highlight w:val="none"/>
                    </w:rPr>
                  </w:pPr>
                  <w:r>
                    <w:rPr>
                      <w:color w:val="auto"/>
                      <w:spacing w:val="6"/>
                      <w:highlight w:val="none"/>
                    </w:rPr>
                    <w:t>500L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厂区常年存放量为10L，存放于乳化油库区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jc w:val="center"/>
                    <w:rPr>
                      <w:color w:val="auto"/>
                      <w:spacing w:val="6"/>
                      <w:highlight w:val="none"/>
                    </w:rPr>
                  </w:pPr>
                  <w:r>
                    <w:rPr>
                      <w:color w:val="auto"/>
                      <w:spacing w:val="6"/>
                      <w:highlight w:val="none"/>
                    </w:rPr>
                    <w:t>13</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去离子水</w:t>
                  </w:r>
                </w:p>
              </w:tc>
              <w:tc>
                <w:tcPr>
                  <w:tcW w:w="1397" w:type="dxa"/>
                  <w:shd w:val="clear" w:color="auto" w:fill="auto"/>
                  <w:vAlign w:val="center"/>
                </w:tcPr>
                <w:p>
                  <w:pPr>
                    <w:jc w:val="center"/>
                    <w:rPr>
                      <w:color w:val="auto"/>
                      <w:spacing w:val="6"/>
                      <w:highlight w:val="none"/>
                    </w:rPr>
                  </w:pPr>
                  <w:r>
                    <w:rPr>
                      <w:color w:val="auto"/>
                      <w:spacing w:val="6"/>
                      <w:highlight w:val="none"/>
                    </w:rPr>
                    <w:t>50</w:t>
                  </w:r>
                  <w:r>
                    <w:rPr>
                      <w:rFonts w:hint="eastAsia"/>
                      <w:color w:val="auto"/>
                      <w:spacing w:val="6"/>
                      <w:highlight w:val="none"/>
                    </w:rPr>
                    <w:t>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主要用于配制抛光液，循环使用，定期更换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jc w:val="center"/>
                    <w:rPr>
                      <w:color w:val="auto"/>
                      <w:spacing w:val="6"/>
                      <w:highlight w:val="none"/>
                    </w:rPr>
                  </w:pPr>
                  <w:r>
                    <w:rPr>
                      <w:color w:val="auto"/>
                      <w:spacing w:val="6"/>
                      <w:highlight w:val="none"/>
                    </w:rPr>
                    <w:t>14</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液氮</w:t>
                  </w:r>
                </w:p>
              </w:tc>
              <w:tc>
                <w:tcPr>
                  <w:tcW w:w="1397" w:type="dxa"/>
                  <w:shd w:val="clear" w:color="auto" w:fill="auto"/>
                  <w:vAlign w:val="center"/>
                </w:tcPr>
                <w:p>
                  <w:pPr>
                    <w:jc w:val="center"/>
                    <w:rPr>
                      <w:color w:val="auto"/>
                      <w:spacing w:val="6"/>
                      <w:highlight w:val="none"/>
                    </w:rPr>
                  </w:pPr>
                  <w:r>
                    <w:rPr>
                      <w:color w:val="auto"/>
                      <w:spacing w:val="6"/>
                      <w:highlight w:val="none"/>
                    </w:rPr>
                    <w:t>800</w:t>
                  </w:r>
                  <w:r>
                    <w:rPr>
                      <w:rFonts w:hint="eastAsia"/>
                      <w:color w:val="auto"/>
                      <w:spacing w:val="6"/>
                      <w:highlight w:val="none"/>
                    </w:rPr>
                    <w:t>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w:t>
                  </w:r>
                  <w:r>
                    <w:rPr>
                      <w:color w:val="auto"/>
                      <w:spacing w:val="6"/>
                      <w:highlight w:val="none"/>
                    </w:rPr>
                    <w:t>40</w:t>
                  </w:r>
                  <w:r>
                    <w:rPr>
                      <w:rFonts w:hint="eastAsia"/>
                      <w:color w:val="auto"/>
                      <w:spacing w:val="6"/>
                      <w:highlight w:val="none"/>
                    </w:rPr>
                    <w:t>吨，存放于氮气罐区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jc w:val="center"/>
                    <w:rPr>
                      <w:color w:val="auto"/>
                      <w:spacing w:val="6"/>
                      <w:highlight w:val="none"/>
                    </w:rPr>
                  </w:pPr>
                  <w:r>
                    <w:rPr>
                      <w:color w:val="auto"/>
                      <w:spacing w:val="6"/>
                      <w:highlight w:val="none"/>
                    </w:rPr>
                    <w:t>15</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氨气</w:t>
                  </w:r>
                </w:p>
              </w:tc>
              <w:tc>
                <w:tcPr>
                  <w:tcW w:w="1397" w:type="dxa"/>
                  <w:shd w:val="clear" w:color="auto" w:fill="auto"/>
                  <w:vAlign w:val="center"/>
                </w:tcPr>
                <w:p>
                  <w:pPr>
                    <w:jc w:val="center"/>
                    <w:rPr>
                      <w:color w:val="auto"/>
                      <w:spacing w:val="6"/>
                      <w:highlight w:val="none"/>
                    </w:rPr>
                  </w:pPr>
                  <w:r>
                    <w:rPr>
                      <w:color w:val="auto"/>
                      <w:spacing w:val="6"/>
                      <w:highlight w:val="none"/>
                    </w:rPr>
                    <w:t>4</w:t>
                  </w:r>
                  <w:r>
                    <w:rPr>
                      <w:rFonts w:hint="eastAsia"/>
                      <w:color w:val="auto"/>
                      <w:spacing w:val="6"/>
                      <w:highlight w:val="none"/>
                    </w:rPr>
                    <w:t>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w:t>
                  </w:r>
                  <w:r>
                    <w:rPr>
                      <w:color w:val="auto"/>
                      <w:spacing w:val="6"/>
                      <w:highlight w:val="none"/>
                    </w:rPr>
                    <w:t>6.4</w:t>
                  </w:r>
                  <w:r>
                    <w:rPr>
                      <w:rFonts w:hint="eastAsia"/>
                      <w:color w:val="auto"/>
                      <w:spacing w:val="6"/>
                      <w:highlight w:val="none"/>
                    </w:rPr>
                    <w:t>吨，存放于氨气瓶库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jc w:val="center"/>
                    <w:rPr>
                      <w:color w:val="auto"/>
                      <w:spacing w:val="6"/>
                      <w:highlight w:val="none"/>
                    </w:rPr>
                  </w:pPr>
                  <w:r>
                    <w:rPr>
                      <w:color w:val="auto"/>
                      <w:spacing w:val="6"/>
                      <w:highlight w:val="none"/>
                    </w:rPr>
                    <w:t>16</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丙烷</w:t>
                  </w:r>
                </w:p>
              </w:tc>
              <w:tc>
                <w:tcPr>
                  <w:tcW w:w="1397" w:type="dxa"/>
                  <w:shd w:val="clear" w:color="auto" w:fill="auto"/>
                  <w:vAlign w:val="center"/>
                </w:tcPr>
                <w:p>
                  <w:pPr>
                    <w:jc w:val="center"/>
                    <w:rPr>
                      <w:color w:val="auto"/>
                      <w:spacing w:val="6"/>
                      <w:highlight w:val="none"/>
                    </w:rPr>
                  </w:pPr>
                  <w:r>
                    <w:rPr>
                      <w:color w:val="auto"/>
                      <w:spacing w:val="6"/>
                      <w:highlight w:val="none"/>
                    </w:rPr>
                    <w:t>12</w:t>
                  </w:r>
                  <w:r>
                    <w:rPr>
                      <w:rFonts w:hint="eastAsia"/>
                      <w:color w:val="auto"/>
                      <w:spacing w:val="6"/>
                      <w:highlight w:val="none"/>
                    </w:rPr>
                    <w:t>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w:t>
                  </w:r>
                  <w:r>
                    <w:rPr>
                      <w:color w:val="auto"/>
                      <w:spacing w:val="6"/>
                      <w:highlight w:val="none"/>
                    </w:rPr>
                    <w:t>3.2</w:t>
                  </w:r>
                  <w:r>
                    <w:rPr>
                      <w:rFonts w:hint="eastAsia"/>
                      <w:color w:val="auto"/>
                      <w:spacing w:val="6"/>
                      <w:highlight w:val="none"/>
                    </w:rPr>
                    <w:t>吨，存放于丙烷站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jc w:val="center"/>
                    <w:rPr>
                      <w:color w:val="auto"/>
                      <w:spacing w:val="6"/>
                      <w:highlight w:val="none"/>
                    </w:rPr>
                  </w:pPr>
                  <w:r>
                    <w:rPr>
                      <w:rFonts w:hint="eastAsia"/>
                      <w:color w:val="auto"/>
                      <w:spacing w:val="6"/>
                      <w:highlight w:val="none"/>
                    </w:rPr>
                    <w:t>17</w:t>
                  </w:r>
                </w:p>
              </w:tc>
              <w:tc>
                <w:tcPr>
                  <w:tcW w:w="2451" w:type="dxa"/>
                  <w:shd w:val="clear" w:color="auto" w:fill="auto"/>
                  <w:vAlign w:val="center"/>
                </w:tcPr>
                <w:p>
                  <w:pPr>
                    <w:jc w:val="center"/>
                    <w:rPr>
                      <w:rFonts w:ascii="宋体" w:hAnsi="宋体" w:cs="Arial"/>
                      <w:color w:val="auto"/>
                      <w:kern w:val="0"/>
                      <w:szCs w:val="21"/>
                      <w:highlight w:val="none"/>
                    </w:rPr>
                  </w:pPr>
                  <w:r>
                    <w:rPr>
                      <w:rFonts w:hint="eastAsia"/>
                      <w:color w:val="auto"/>
                      <w:spacing w:val="6"/>
                      <w:highlight w:val="none"/>
                    </w:rPr>
                    <w:t>甲醇</w:t>
                  </w:r>
                </w:p>
              </w:tc>
              <w:tc>
                <w:tcPr>
                  <w:tcW w:w="1397" w:type="dxa"/>
                  <w:shd w:val="clear" w:color="auto" w:fill="auto"/>
                  <w:vAlign w:val="center"/>
                </w:tcPr>
                <w:p>
                  <w:pPr>
                    <w:jc w:val="center"/>
                    <w:rPr>
                      <w:color w:val="auto"/>
                      <w:spacing w:val="6"/>
                      <w:highlight w:val="none"/>
                    </w:rPr>
                  </w:pPr>
                  <w:r>
                    <w:rPr>
                      <w:color w:val="auto"/>
                      <w:spacing w:val="6"/>
                      <w:highlight w:val="none"/>
                    </w:rPr>
                    <w:t>75</w:t>
                  </w:r>
                  <w:r>
                    <w:rPr>
                      <w:rFonts w:hint="eastAsia"/>
                      <w:color w:val="auto"/>
                      <w:spacing w:val="6"/>
                      <w:highlight w:val="none"/>
                    </w:rPr>
                    <w:t>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w:t>
                  </w:r>
                  <w:r>
                    <w:rPr>
                      <w:color w:val="auto"/>
                      <w:spacing w:val="6"/>
                      <w:highlight w:val="none"/>
                    </w:rPr>
                    <w:t>40</w:t>
                  </w:r>
                  <w:r>
                    <w:rPr>
                      <w:rFonts w:hint="eastAsia"/>
                      <w:color w:val="auto"/>
                      <w:spacing w:val="6"/>
                      <w:highlight w:val="none"/>
                    </w:rPr>
                    <w:t>吨，存放于甲醇埋地罐区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07" w:type="dxa"/>
                  <w:gridSpan w:val="4"/>
                  <w:shd w:val="clear" w:color="auto" w:fill="auto"/>
                  <w:vAlign w:val="center"/>
                </w:tcPr>
                <w:p>
                  <w:pPr>
                    <w:jc w:val="left"/>
                    <w:rPr>
                      <w:color w:val="auto"/>
                      <w:spacing w:val="6"/>
                      <w:highlight w:val="none"/>
                    </w:rPr>
                  </w:pPr>
                  <w:r>
                    <w:rPr>
                      <w:rFonts w:hint="eastAsia"/>
                      <w:b/>
                      <w:color w:val="auto"/>
                      <w:kern w:val="0"/>
                      <w:szCs w:val="21"/>
                      <w:highlight w:val="none"/>
                    </w:rPr>
                    <w:t>二、可变滚子摇臂主要原辅材料</w:t>
                  </w:r>
                  <w:r>
                    <w:rPr>
                      <w:rFonts w:hint="eastAsia"/>
                      <w:color w:val="auto"/>
                      <w:spacing w:val="6"/>
                      <w:highlight w:val="none"/>
                    </w:rPr>
                    <w:t>（生产可变滚子摇臂210万与滚子摇臂1100万的原料消耗基本相同？本报告按比例缩小了用量）</w:t>
                  </w:r>
                  <w:r>
                    <w:rPr>
                      <w:rFonts w:hint="eastAsia"/>
                      <w:b/>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5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原辅材料</w:t>
                  </w:r>
                  <w:r>
                    <w:rPr>
                      <w:color w:val="auto"/>
                      <w:kern w:val="0"/>
                      <w:szCs w:val="21"/>
                      <w:highlight w:val="none"/>
                    </w:rPr>
                    <w:t>名称</w:t>
                  </w:r>
                </w:p>
              </w:tc>
              <w:tc>
                <w:tcPr>
                  <w:tcW w:w="1397"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年消耗量</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1</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钢卷</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160吨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2</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钢棒</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31吨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3</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抛光喷砂液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460L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4</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防锈油</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60L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厂区常年存放量为10L，存放于乳化油库区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5</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乳化液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60L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6</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切削油</w:t>
                  </w:r>
                </w:p>
              </w:tc>
              <w:tc>
                <w:tcPr>
                  <w:tcW w:w="1397" w:type="dxa"/>
                  <w:shd w:val="clear" w:color="auto" w:fill="auto"/>
                  <w:vAlign w:val="center"/>
                </w:tcPr>
                <w:p>
                  <w:pPr>
                    <w:jc w:val="center"/>
                    <w:rPr>
                      <w:color w:val="auto"/>
                      <w:spacing w:val="6"/>
                      <w:highlight w:val="none"/>
                      <w:lang w:val="de-DE"/>
                    </w:rPr>
                  </w:pPr>
                  <w:r>
                    <w:rPr>
                      <w:rFonts w:hint="eastAsia"/>
                      <w:color w:val="auto"/>
                      <w:spacing w:val="6"/>
                      <w:highlight w:val="none"/>
                    </w:rPr>
                    <w:t>60L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7</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润滑脂</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30L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厂区常年存放量为10L，存放于乳化油库区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8</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油脂（加注到轴承内部）</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0.6吨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w:t>
                  </w:r>
                  <w:r>
                    <w:rPr>
                      <w:color w:val="auto"/>
                      <w:spacing w:val="6"/>
                      <w:highlight w:val="none"/>
                    </w:rPr>
                    <w:t>100kg</w:t>
                  </w:r>
                  <w:r>
                    <w:rPr>
                      <w:rFonts w:hint="eastAsia"/>
                      <w:color w:val="auto"/>
                      <w:spacing w:val="6"/>
                      <w:highlight w:val="none"/>
                    </w:rPr>
                    <w:t>，存放于乳化油库区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9</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淬火油</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2.</w:t>
                  </w:r>
                  <w:r>
                    <w:rPr>
                      <w:color w:val="auto"/>
                      <w:spacing w:val="6"/>
                      <w:highlight w:val="none"/>
                    </w:rPr>
                    <w:t>1</w:t>
                  </w:r>
                  <w:r>
                    <w:rPr>
                      <w:rFonts w:hint="eastAsia"/>
                      <w:color w:val="auto"/>
                      <w:spacing w:val="6"/>
                      <w:highlight w:val="none"/>
                    </w:rPr>
                    <w:t>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10</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清洗剂</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6</w:t>
                  </w:r>
                  <w:r>
                    <w:rPr>
                      <w:color w:val="auto"/>
                      <w:spacing w:val="6"/>
                      <w:highlight w:val="none"/>
                    </w:rPr>
                    <w:t>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水性及油性清洗剂各占一半，循环使用，定期更换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11</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去毛刺电解液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60L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12</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去离子水</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9.5吨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主要用于配制抛光液，循环使用，定期更换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13</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液氮</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150吨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厂区常年存放量为7.5吨，存放于氮气罐区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14</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氨气</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0.8吨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w:t>
                  </w:r>
                  <w:r>
                    <w:rPr>
                      <w:color w:val="auto"/>
                      <w:spacing w:val="6"/>
                      <w:highlight w:val="none"/>
                    </w:rPr>
                    <w:t>6.4</w:t>
                  </w:r>
                  <w:r>
                    <w:rPr>
                      <w:rFonts w:hint="eastAsia"/>
                      <w:color w:val="auto"/>
                      <w:spacing w:val="6"/>
                      <w:highlight w:val="none"/>
                    </w:rPr>
                    <w:t>吨，存放于氨气瓶库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15</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丙烷</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2.3吨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厂区常年存放量为0.04吨，存放于丙烷站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16</w:t>
                  </w:r>
                </w:p>
              </w:tc>
              <w:tc>
                <w:tcPr>
                  <w:tcW w:w="2451" w:type="dxa"/>
                  <w:shd w:val="clear" w:color="auto" w:fill="auto"/>
                  <w:vAlign w:val="center"/>
                </w:tcPr>
                <w:p>
                  <w:pPr>
                    <w:jc w:val="center"/>
                    <w:rPr>
                      <w:rFonts w:ascii="宋体" w:hAnsi="宋体" w:cs="Arial"/>
                      <w:color w:val="auto"/>
                      <w:kern w:val="0"/>
                      <w:szCs w:val="21"/>
                      <w:highlight w:val="none"/>
                    </w:rPr>
                  </w:pPr>
                  <w:r>
                    <w:rPr>
                      <w:rFonts w:hint="eastAsia"/>
                      <w:color w:val="auto"/>
                      <w:spacing w:val="6"/>
                      <w:highlight w:val="none"/>
                    </w:rPr>
                    <w:t>甲醇</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14吨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厂区常年存放量为0.7吨，存放于甲醇埋地罐区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07" w:type="dxa"/>
                  <w:gridSpan w:val="4"/>
                  <w:shd w:val="clear" w:color="auto" w:fill="auto"/>
                  <w:vAlign w:val="center"/>
                </w:tcPr>
                <w:p>
                  <w:pPr>
                    <w:widowControl/>
                    <w:jc w:val="left"/>
                    <w:rPr>
                      <w:color w:val="auto"/>
                      <w:spacing w:val="6"/>
                      <w:highlight w:val="none"/>
                    </w:rPr>
                  </w:pPr>
                  <w:r>
                    <w:rPr>
                      <w:rFonts w:hint="eastAsia"/>
                      <w:b/>
                      <w:color w:val="auto"/>
                      <w:kern w:val="0"/>
                      <w:szCs w:val="21"/>
                      <w:highlight w:val="none"/>
                    </w:rPr>
                    <w:t>三、张紧器主要原辅材料：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5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原辅材料</w:t>
                  </w:r>
                  <w:r>
                    <w:rPr>
                      <w:color w:val="auto"/>
                      <w:kern w:val="0"/>
                      <w:szCs w:val="21"/>
                      <w:highlight w:val="none"/>
                    </w:rPr>
                    <w:t>名称</w:t>
                  </w:r>
                </w:p>
              </w:tc>
              <w:tc>
                <w:tcPr>
                  <w:tcW w:w="1397"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年消耗量</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铝</w:t>
                  </w:r>
                  <w:r>
                    <w:rPr>
                      <w:color w:val="auto"/>
                      <w:spacing w:val="6"/>
                      <w:highlight w:val="none"/>
                    </w:rPr>
                    <w:t>压铸件</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w:t>
                  </w:r>
                  <w:r>
                    <w:rPr>
                      <w:color w:val="auto"/>
                      <w:spacing w:val="6"/>
                      <w:highlight w:val="none"/>
                    </w:rPr>
                    <w:t>400万件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惰轮</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w:t>
                  </w:r>
                  <w:r>
                    <w:rPr>
                      <w:color w:val="auto"/>
                      <w:spacing w:val="6"/>
                      <w:highlight w:val="none"/>
                    </w:rPr>
                    <w:t>800万件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3</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螺丝</w:t>
                  </w:r>
                </w:p>
              </w:tc>
              <w:tc>
                <w:tcPr>
                  <w:tcW w:w="1397" w:type="dxa"/>
                  <w:shd w:val="clear" w:color="auto" w:fill="auto"/>
                  <w:vAlign w:val="center"/>
                </w:tcPr>
                <w:p>
                  <w:pPr>
                    <w:jc w:val="center"/>
                    <w:rPr>
                      <w:color w:val="auto"/>
                      <w:spacing w:val="6"/>
                      <w:highlight w:val="none"/>
                    </w:rPr>
                  </w:pPr>
                  <w:r>
                    <w:rPr>
                      <w:color w:val="auto"/>
                      <w:spacing w:val="6"/>
                      <w:highlight w:val="none"/>
                    </w:rPr>
                    <w:t>1800万件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4</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弹簧</w:t>
                  </w:r>
                </w:p>
              </w:tc>
              <w:tc>
                <w:tcPr>
                  <w:tcW w:w="1397" w:type="dxa"/>
                  <w:shd w:val="clear" w:color="auto" w:fill="auto"/>
                  <w:vAlign w:val="center"/>
                </w:tcPr>
                <w:p>
                  <w:pPr>
                    <w:jc w:val="center"/>
                    <w:rPr>
                      <w:color w:val="auto"/>
                      <w:spacing w:val="6"/>
                      <w:highlight w:val="none"/>
                    </w:rPr>
                  </w:pPr>
                  <w:r>
                    <w:rPr>
                      <w:color w:val="auto"/>
                      <w:spacing w:val="6"/>
                      <w:highlight w:val="none"/>
                    </w:rPr>
                    <w:t>645万件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5</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防尘</w:t>
                  </w:r>
                  <w:r>
                    <w:rPr>
                      <w:color w:val="auto"/>
                      <w:spacing w:val="6"/>
                      <w:highlight w:val="none"/>
                    </w:rPr>
                    <w:t>盖</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w:t>
                  </w:r>
                  <w:r>
                    <w:rPr>
                      <w:color w:val="auto"/>
                      <w:spacing w:val="6"/>
                      <w:highlight w:val="none"/>
                    </w:rPr>
                    <w:t>400万件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6</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法兰</w:t>
                  </w:r>
                  <w:r>
                    <w:rPr>
                      <w:color w:val="auto"/>
                      <w:spacing w:val="6"/>
                      <w:highlight w:val="none"/>
                    </w:rPr>
                    <w:t>轴套</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6</w:t>
                  </w:r>
                  <w:r>
                    <w:rPr>
                      <w:color w:val="auto"/>
                      <w:spacing w:val="6"/>
                      <w:highlight w:val="none"/>
                    </w:rPr>
                    <w:t>45万件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7</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摩擦</w:t>
                  </w:r>
                  <w:r>
                    <w:rPr>
                      <w:color w:val="auto"/>
                      <w:spacing w:val="6"/>
                      <w:highlight w:val="none"/>
                    </w:rPr>
                    <w:t>环</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4</w:t>
                  </w:r>
                  <w:r>
                    <w:rPr>
                      <w:color w:val="auto"/>
                      <w:spacing w:val="6"/>
                      <w:highlight w:val="none"/>
                    </w:rPr>
                    <w:t>37万件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8</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销钉</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4</w:t>
                  </w:r>
                  <w:r>
                    <w:rPr>
                      <w:color w:val="auto"/>
                      <w:spacing w:val="6"/>
                      <w:highlight w:val="none"/>
                    </w:rPr>
                    <w:t>37万件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9</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密封圈</w:t>
                  </w:r>
                </w:p>
              </w:tc>
              <w:tc>
                <w:tcPr>
                  <w:tcW w:w="1397" w:type="dxa"/>
                  <w:shd w:val="clear" w:color="auto" w:fill="auto"/>
                  <w:vAlign w:val="center"/>
                </w:tcPr>
                <w:p>
                  <w:pPr>
                    <w:jc w:val="center"/>
                    <w:rPr>
                      <w:color w:val="auto"/>
                      <w:spacing w:val="6"/>
                      <w:highlight w:val="none"/>
                    </w:rPr>
                  </w:pPr>
                  <w:r>
                    <w:rPr>
                      <w:color w:val="auto"/>
                      <w:spacing w:val="6"/>
                      <w:highlight w:val="none"/>
                    </w:rPr>
                    <w:t>600万件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10</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PA66GF25塑料粒子</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729.600吨</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11</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内圈</w:t>
                  </w:r>
                </w:p>
              </w:tc>
              <w:tc>
                <w:tcPr>
                  <w:tcW w:w="1397" w:type="dxa"/>
                  <w:shd w:val="clear" w:color="auto" w:fill="auto"/>
                  <w:vAlign w:val="center"/>
                </w:tcPr>
                <w:p>
                  <w:pPr>
                    <w:jc w:val="center"/>
                    <w:rPr>
                      <w:b/>
                      <w:color w:val="auto"/>
                      <w:spacing w:val="6"/>
                      <w:highlight w:val="none"/>
                    </w:rPr>
                  </w:pPr>
                  <w:r>
                    <w:rPr>
                      <w:color w:val="auto"/>
                      <w:spacing w:val="6"/>
                      <w:highlight w:val="none"/>
                    </w:rPr>
                    <w:t>1263</w:t>
                  </w:r>
                  <w:r>
                    <w:rPr>
                      <w:rFonts w:hint="eastAsia"/>
                      <w:color w:val="auto"/>
                      <w:spacing w:val="6"/>
                      <w:highlight w:val="none"/>
                    </w:rPr>
                    <w:t>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12</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外圈</w:t>
                  </w:r>
                </w:p>
              </w:tc>
              <w:tc>
                <w:tcPr>
                  <w:tcW w:w="1397" w:type="dxa"/>
                  <w:shd w:val="clear" w:color="auto" w:fill="auto"/>
                  <w:vAlign w:val="center"/>
                </w:tcPr>
                <w:p>
                  <w:pPr>
                    <w:jc w:val="center"/>
                    <w:rPr>
                      <w:color w:val="auto"/>
                      <w:spacing w:val="6"/>
                      <w:highlight w:val="none"/>
                    </w:rPr>
                  </w:pPr>
                  <w:r>
                    <w:rPr>
                      <w:color w:val="auto"/>
                      <w:spacing w:val="6"/>
                      <w:highlight w:val="none"/>
                    </w:rPr>
                    <w:t>1263</w:t>
                  </w:r>
                  <w:r>
                    <w:rPr>
                      <w:rFonts w:hint="eastAsia"/>
                      <w:color w:val="auto"/>
                      <w:spacing w:val="6"/>
                      <w:highlight w:val="none"/>
                    </w:rPr>
                    <w:t>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13</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保持架</w:t>
                  </w:r>
                </w:p>
              </w:tc>
              <w:tc>
                <w:tcPr>
                  <w:tcW w:w="1397" w:type="dxa"/>
                  <w:shd w:val="clear" w:color="auto" w:fill="auto"/>
                  <w:vAlign w:val="center"/>
                </w:tcPr>
                <w:p>
                  <w:pPr>
                    <w:jc w:val="center"/>
                    <w:rPr>
                      <w:color w:val="auto"/>
                      <w:spacing w:val="6"/>
                      <w:highlight w:val="none"/>
                    </w:rPr>
                  </w:pPr>
                  <w:r>
                    <w:rPr>
                      <w:color w:val="auto"/>
                      <w:spacing w:val="6"/>
                      <w:highlight w:val="none"/>
                    </w:rPr>
                    <w:t>1263</w:t>
                  </w:r>
                  <w:r>
                    <w:rPr>
                      <w:rFonts w:hint="eastAsia"/>
                      <w:color w:val="auto"/>
                      <w:spacing w:val="6"/>
                      <w:highlight w:val="none"/>
                    </w:rPr>
                    <w:t>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14</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钢球</w:t>
                  </w:r>
                </w:p>
              </w:tc>
              <w:tc>
                <w:tcPr>
                  <w:tcW w:w="1397" w:type="dxa"/>
                  <w:shd w:val="clear" w:color="auto" w:fill="auto"/>
                  <w:vAlign w:val="center"/>
                </w:tcPr>
                <w:p>
                  <w:pPr>
                    <w:jc w:val="center"/>
                    <w:rPr>
                      <w:color w:val="auto"/>
                      <w:spacing w:val="6"/>
                      <w:highlight w:val="none"/>
                    </w:rPr>
                  </w:pPr>
                  <w:r>
                    <w:rPr>
                      <w:color w:val="auto"/>
                      <w:spacing w:val="6"/>
                      <w:highlight w:val="none"/>
                    </w:rPr>
                    <w:t>1010</w:t>
                  </w:r>
                  <w:r>
                    <w:rPr>
                      <w:rFonts w:hint="eastAsia"/>
                      <w:color w:val="auto"/>
                      <w:spacing w:val="6"/>
                      <w:highlight w:val="none"/>
                    </w:rPr>
                    <w:t>7万件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15</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密封圈</w:t>
                  </w:r>
                </w:p>
              </w:tc>
              <w:tc>
                <w:tcPr>
                  <w:tcW w:w="1397" w:type="dxa"/>
                  <w:shd w:val="clear" w:color="auto" w:fill="auto"/>
                  <w:vAlign w:val="center"/>
                </w:tcPr>
                <w:p>
                  <w:pPr>
                    <w:jc w:val="center"/>
                    <w:rPr>
                      <w:color w:val="auto"/>
                      <w:spacing w:val="6"/>
                      <w:highlight w:val="none"/>
                    </w:rPr>
                  </w:pPr>
                  <w:r>
                    <w:rPr>
                      <w:color w:val="auto"/>
                      <w:spacing w:val="6"/>
                      <w:highlight w:val="none"/>
                    </w:rPr>
                    <w:t>252</w:t>
                  </w:r>
                  <w:r>
                    <w:rPr>
                      <w:rFonts w:hint="eastAsia"/>
                      <w:color w:val="auto"/>
                      <w:spacing w:val="6"/>
                      <w:highlight w:val="none"/>
                    </w:rPr>
                    <w:t>7万件</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16</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油脂（加注到轴承内部）</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12.633吨</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厂区常年存放量为450</w:t>
                  </w:r>
                  <w:r>
                    <w:rPr>
                      <w:color w:val="auto"/>
                      <w:spacing w:val="6"/>
                      <w:highlight w:val="none"/>
                    </w:rPr>
                    <w:t>kg</w:t>
                  </w:r>
                  <w:r>
                    <w:rPr>
                      <w:rFonts w:hint="eastAsia"/>
                      <w:color w:val="auto"/>
                      <w:spacing w:val="6"/>
                      <w:highlight w:val="none"/>
                    </w:rPr>
                    <w:t>，存放于乳化油库区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17</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磨削乳化液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4吨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18</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磨削油</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17吨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spacing w:val="6"/>
                      <w:highlight w:val="none"/>
                    </w:rPr>
                  </w:pPr>
                  <w:r>
                    <w:rPr>
                      <w:rFonts w:hint="eastAsia"/>
                      <w:color w:val="auto"/>
                      <w:spacing w:val="6"/>
                      <w:highlight w:val="none"/>
                    </w:rPr>
                    <w:t>19</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清洗液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400L</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水性及油性清洗剂各占一半，循环使用，定期更换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07" w:type="dxa"/>
                  <w:gridSpan w:val="4"/>
                  <w:shd w:val="clear" w:color="auto" w:fill="auto"/>
                  <w:vAlign w:val="center"/>
                </w:tcPr>
                <w:p>
                  <w:pPr>
                    <w:widowControl/>
                    <w:jc w:val="left"/>
                    <w:rPr>
                      <w:color w:val="auto"/>
                      <w:kern w:val="0"/>
                      <w:szCs w:val="21"/>
                      <w:highlight w:val="none"/>
                    </w:rPr>
                  </w:pPr>
                  <w:r>
                    <w:rPr>
                      <w:rFonts w:hint="eastAsia"/>
                      <w:b/>
                      <w:color w:val="auto"/>
                      <w:kern w:val="0"/>
                      <w:szCs w:val="21"/>
                      <w:highlight w:val="none"/>
                    </w:rPr>
                    <w:t>四、热管理模块主要生产原料：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5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原辅材料</w:t>
                  </w:r>
                  <w:r>
                    <w:rPr>
                      <w:color w:val="auto"/>
                      <w:kern w:val="0"/>
                      <w:szCs w:val="21"/>
                      <w:highlight w:val="none"/>
                    </w:rPr>
                    <w:t>名称</w:t>
                  </w:r>
                </w:p>
              </w:tc>
              <w:tc>
                <w:tcPr>
                  <w:tcW w:w="1397"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年消耗量</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45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PPS塑料粒子</w:t>
                  </w:r>
                </w:p>
              </w:tc>
              <w:tc>
                <w:tcPr>
                  <w:tcW w:w="1397"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1000吨</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07" w:type="dxa"/>
                  <w:gridSpan w:val="4"/>
                  <w:shd w:val="clear" w:color="auto" w:fill="auto"/>
                  <w:vAlign w:val="center"/>
                </w:tcPr>
                <w:p>
                  <w:pPr>
                    <w:widowControl/>
                    <w:jc w:val="left"/>
                    <w:rPr>
                      <w:color w:val="auto"/>
                      <w:kern w:val="0"/>
                      <w:szCs w:val="21"/>
                      <w:highlight w:val="none"/>
                    </w:rPr>
                  </w:pPr>
                  <w:r>
                    <w:rPr>
                      <w:rFonts w:hint="eastAsia"/>
                      <w:b/>
                      <w:color w:val="auto"/>
                      <w:kern w:val="0"/>
                      <w:szCs w:val="21"/>
                      <w:highlight w:val="none"/>
                    </w:rPr>
                    <w:t>五、轮毂轴承3代主要生产原料：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5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原辅材料</w:t>
                  </w:r>
                  <w:r>
                    <w:rPr>
                      <w:color w:val="auto"/>
                      <w:kern w:val="0"/>
                      <w:szCs w:val="21"/>
                      <w:highlight w:val="none"/>
                    </w:rPr>
                    <w:t>名称</w:t>
                  </w:r>
                </w:p>
              </w:tc>
              <w:tc>
                <w:tcPr>
                  <w:tcW w:w="1397"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年消耗量</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磨削油</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36吨</w:t>
                  </w:r>
                </w:p>
              </w:tc>
              <w:tc>
                <w:tcPr>
                  <w:tcW w:w="5031" w:type="dxa"/>
                  <w:shd w:val="clear" w:color="auto" w:fill="auto"/>
                  <w:vAlign w:val="center"/>
                </w:tcPr>
                <w:p>
                  <w:pPr>
                    <w:jc w:val="center"/>
                    <w:rPr>
                      <w:color w:val="auto"/>
                      <w:spacing w:val="6"/>
                      <w:highlight w:val="none"/>
                    </w:rPr>
                  </w:pPr>
                  <w:r>
                    <w:rPr>
                      <w:rFonts w:hint="eastAsia"/>
                      <w:color w:val="auto"/>
                      <w:spacing w:val="6"/>
                      <w:highlight w:val="none"/>
                    </w:rPr>
                    <w:t>厂区常年存放量为1.8t，存放于乳化油库区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2</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切削液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4.8吨</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3</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磨削液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4.8吨</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4</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清洗剂</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155kg</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水性及油性清洗剂各占一半，循环使用，定期更换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5</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水基淬火液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1.8吨</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循环使用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6</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清洗煤油</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6.6吨</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7</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拉齿液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1.2吨</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8</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液压油</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793kg</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9</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油脂（加注到轴承内部）</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15.28吨</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厂区常年存放量为750</w:t>
                  </w:r>
                  <w:r>
                    <w:rPr>
                      <w:color w:val="auto"/>
                      <w:spacing w:val="6"/>
                      <w:highlight w:val="none"/>
                    </w:rPr>
                    <w:t>kg</w:t>
                  </w:r>
                  <w:r>
                    <w:rPr>
                      <w:rFonts w:hint="eastAsia"/>
                      <w:color w:val="auto"/>
                      <w:spacing w:val="6"/>
                      <w:highlight w:val="none"/>
                    </w:rPr>
                    <w:t>，存放于乳化油库区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10</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密封剂</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1.03吨</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11</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防锈油</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130kg</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12</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抛光液</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460L</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循环使用，定期更换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007" w:type="dxa"/>
                  <w:gridSpan w:val="4"/>
                  <w:shd w:val="clear" w:color="auto" w:fill="auto"/>
                  <w:vAlign w:val="center"/>
                </w:tcPr>
                <w:p>
                  <w:pPr>
                    <w:widowControl/>
                    <w:jc w:val="left"/>
                    <w:rPr>
                      <w:color w:val="auto"/>
                      <w:spacing w:val="6"/>
                      <w:highlight w:val="none"/>
                    </w:rPr>
                  </w:pPr>
                  <w:r>
                    <w:rPr>
                      <w:rFonts w:hint="eastAsia"/>
                      <w:b/>
                      <w:color w:val="auto"/>
                      <w:kern w:val="0"/>
                      <w:szCs w:val="21"/>
                      <w:highlight w:val="none"/>
                    </w:rPr>
                    <w:t>六、悬架轴承主要生产原料：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color w:val="auto"/>
                      <w:kern w:val="0"/>
                      <w:szCs w:val="21"/>
                      <w:highlight w:val="none"/>
                    </w:rPr>
                    <w:t>序号</w:t>
                  </w:r>
                </w:p>
              </w:tc>
              <w:tc>
                <w:tcPr>
                  <w:tcW w:w="245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原辅材料</w:t>
                  </w:r>
                  <w:r>
                    <w:rPr>
                      <w:color w:val="auto"/>
                      <w:kern w:val="0"/>
                      <w:szCs w:val="21"/>
                      <w:highlight w:val="none"/>
                    </w:rPr>
                    <w:t>名称</w:t>
                  </w:r>
                </w:p>
              </w:tc>
              <w:tc>
                <w:tcPr>
                  <w:tcW w:w="1397"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年消耗量</w:t>
                  </w:r>
                </w:p>
              </w:tc>
              <w:tc>
                <w:tcPr>
                  <w:tcW w:w="5031"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128" w:type="dxa"/>
                  <w:shd w:val="clear" w:color="auto" w:fill="auto"/>
                  <w:vAlign w:val="center"/>
                </w:tcPr>
                <w:p>
                  <w:pPr>
                    <w:widowControl/>
                    <w:jc w:val="center"/>
                    <w:rPr>
                      <w:color w:val="auto"/>
                      <w:kern w:val="0"/>
                      <w:szCs w:val="21"/>
                      <w:highlight w:val="none"/>
                    </w:rPr>
                  </w:pPr>
                  <w:r>
                    <w:rPr>
                      <w:rFonts w:hint="eastAsia"/>
                      <w:color w:val="auto"/>
                      <w:kern w:val="0"/>
                      <w:szCs w:val="21"/>
                      <w:highlight w:val="none"/>
                    </w:rPr>
                    <w:t>1</w:t>
                  </w:r>
                </w:p>
              </w:tc>
              <w:tc>
                <w:tcPr>
                  <w:tcW w:w="2451" w:type="dxa"/>
                  <w:shd w:val="clear" w:color="auto" w:fill="auto"/>
                  <w:vAlign w:val="center"/>
                </w:tcPr>
                <w:p>
                  <w:pPr>
                    <w:jc w:val="center"/>
                    <w:rPr>
                      <w:color w:val="auto"/>
                      <w:spacing w:val="6"/>
                      <w:highlight w:val="none"/>
                    </w:rPr>
                  </w:pPr>
                  <w:r>
                    <w:rPr>
                      <w:rFonts w:hint="eastAsia"/>
                      <w:color w:val="auto"/>
                      <w:spacing w:val="6"/>
                      <w:highlight w:val="none"/>
                    </w:rPr>
                    <w:t>油脂（加注到轴承内部）</w:t>
                  </w:r>
                </w:p>
              </w:tc>
              <w:tc>
                <w:tcPr>
                  <w:tcW w:w="1397" w:type="dxa"/>
                  <w:shd w:val="clear" w:color="auto" w:fill="auto"/>
                  <w:vAlign w:val="center"/>
                </w:tcPr>
                <w:p>
                  <w:pPr>
                    <w:jc w:val="center"/>
                    <w:rPr>
                      <w:color w:val="auto"/>
                      <w:spacing w:val="6"/>
                      <w:highlight w:val="none"/>
                    </w:rPr>
                  </w:pPr>
                  <w:r>
                    <w:rPr>
                      <w:rFonts w:hint="eastAsia"/>
                      <w:color w:val="auto"/>
                      <w:spacing w:val="6"/>
                      <w:highlight w:val="none"/>
                    </w:rPr>
                    <w:t>28.42吨</w:t>
                  </w:r>
                </w:p>
              </w:tc>
              <w:tc>
                <w:tcPr>
                  <w:tcW w:w="5031" w:type="dxa"/>
                  <w:shd w:val="clear" w:color="auto" w:fill="auto"/>
                  <w:vAlign w:val="center"/>
                </w:tcPr>
                <w:p>
                  <w:pPr>
                    <w:widowControl/>
                    <w:jc w:val="center"/>
                    <w:rPr>
                      <w:color w:val="auto"/>
                      <w:kern w:val="0"/>
                      <w:szCs w:val="21"/>
                      <w:highlight w:val="none"/>
                    </w:rPr>
                  </w:pPr>
                  <w:r>
                    <w:rPr>
                      <w:rFonts w:hint="eastAsia"/>
                      <w:color w:val="auto"/>
                      <w:spacing w:val="6"/>
                      <w:highlight w:val="none"/>
                    </w:rPr>
                    <w:t>厂区常年存放量为1.5t，存放于乳化油库区</w:t>
                  </w:r>
                </w:p>
              </w:tc>
            </w:tr>
          </w:tbl>
          <w:p>
            <w:pPr>
              <w:snapToGrid w:val="0"/>
              <w:spacing w:line="360" w:lineRule="auto"/>
              <w:jc w:val="center"/>
              <w:rPr>
                <w:b/>
                <w:color w:val="auto"/>
                <w:sz w:val="24"/>
                <w:highlight w:val="none"/>
              </w:rPr>
            </w:pPr>
          </w:p>
          <w:p>
            <w:pPr>
              <w:spacing w:line="360" w:lineRule="auto"/>
              <w:ind w:firstLine="480" w:firstLineChars="200"/>
              <w:rPr>
                <w:color w:val="auto"/>
                <w:sz w:val="24"/>
                <w:highlight w:val="none"/>
              </w:rPr>
            </w:pPr>
            <w:r>
              <w:rPr>
                <w:rFonts w:hint="eastAsia"/>
                <w:color w:val="auto"/>
                <w:sz w:val="24"/>
                <w:highlight w:val="none"/>
              </w:rPr>
              <w:t>项目主要原辅材料介绍如下：</w:t>
            </w:r>
          </w:p>
          <w:p>
            <w:pPr>
              <w:spacing w:line="360" w:lineRule="auto"/>
              <w:ind w:firstLine="480" w:firstLineChars="200"/>
              <w:rPr>
                <w:color w:val="auto"/>
                <w:sz w:val="24"/>
                <w:highlight w:val="none"/>
              </w:rPr>
            </w:pPr>
            <w:r>
              <w:rPr>
                <w:rFonts w:hint="eastAsia"/>
                <w:color w:val="auto"/>
                <w:sz w:val="24"/>
                <w:highlight w:val="none"/>
              </w:rPr>
              <w:t>（1）液氮</w:t>
            </w:r>
          </w:p>
          <w:p>
            <w:pPr>
              <w:spacing w:line="360" w:lineRule="auto"/>
              <w:ind w:firstLine="480" w:firstLineChars="200"/>
              <w:rPr>
                <w:color w:val="auto"/>
                <w:sz w:val="24"/>
                <w:highlight w:val="none"/>
              </w:rPr>
            </w:pPr>
            <w:r>
              <w:rPr>
                <w:color w:val="auto"/>
                <w:sz w:val="24"/>
                <w:highlight w:val="none"/>
              </w:rPr>
              <w:t>压缩液体，无色无臭，</w:t>
            </w:r>
            <w:r>
              <w:rPr>
                <w:color w:val="auto"/>
                <w:highlight w:val="none"/>
              </w:rPr>
              <w:fldChar w:fldCharType="begin"/>
            </w:r>
            <w:r>
              <w:rPr>
                <w:color w:val="auto"/>
                <w:highlight w:val="none"/>
              </w:rPr>
              <w:instrText xml:space="preserve"> HYPERLINK "http://baike.baidu.com/view/273150.htm" </w:instrText>
            </w:r>
            <w:r>
              <w:rPr>
                <w:color w:val="auto"/>
                <w:highlight w:val="none"/>
              </w:rPr>
              <w:fldChar w:fldCharType="separate"/>
            </w:r>
            <w:r>
              <w:rPr>
                <w:color w:val="auto"/>
                <w:sz w:val="24"/>
                <w:highlight w:val="none"/>
              </w:rPr>
              <w:t>惰性</w:t>
            </w:r>
            <w:r>
              <w:rPr>
                <w:color w:val="auto"/>
                <w:sz w:val="24"/>
                <w:highlight w:val="none"/>
              </w:rPr>
              <w:fldChar w:fldCharType="end"/>
            </w:r>
            <w:r>
              <w:rPr>
                <w:color w:val="auto"/>
                <w:sz w:val="24"/>
                <w:highlight w:val="none"/>
              </w:rPr>
              <w:t>，无</w:t>
            </w:r>
            <w:r>
              <w:rPr>
                <w:color w:val="auto"/>
                <w:highlight w:val="none"/>
              </w:rPr>
              <w:fldChar w:fldCharType="begin"/>
            </w:r>
            <w:r>
              <w:rPr>
                <w:color w:val="auto"/>
                <w:highlight w:val="none"/>
              </w:rPr>
              <w:instrText xml:space="preserve"> HYPERLINK "http://baike.baidu.com/view/1456180.htm" </w:instrText>
            </w:r>
            <w:r>
              <w:rPr>
                <w:color w:val="auto"/>
                <w:highlight w:val="none"/>
              </w:rPr>
              <w:fldChar w:fldCharType="separate"/>
            </w:r>
            <w:r>
              <w:rPr>
                <w:color w:val="auto"/>
                <w:sz w:val="24"/>
                <w:highlight w:val="none"/>
              </w:rPr>
              <w:t>腐蚀性</w:t>
            </w:r>
            <w:r>
              <w:rPr>
                <w:color w:val="auto"/>
                <w:sz w:val="24"/>
                <w:highlight w:val="none"/>
              </w:rPr>
              <w:fldChar w:fldCharType="end"/>
            </w:r>
            <w:r>
              <w:rPr>
                <w:color w:val="auto"/>
                <w:sz w:val="24"/>
                <w:highlight w:val="none"/>
              </w:rPr>
              <w:t>，不可燃，温度极低，不支持</w:t>
            </w:r>
            <w:r>
              <w:rPr>
                <w:color w:val="auto"/>
                <w:highlight w:val="none"/>
              </w:rPr>
              <w:fldChar w:fldCharType="begin"/>
            </w:r>
            <w:r>
              <w:rPr>
                <w:color w:val="auto"/>
                <w:highlight w:val="none"/>
              </w:rPr>
              <w:instrText xml:space="preserve"> HYPERLINK "http://baike.baidu.com/subview/62786/5118707.htm" </w:instrText>
            </w:r>
            <w:r>
              <w:rPr>
                <w:color w:val="auto"/>
                <w:highlight w:val="none"/>
              </w:rPr>
              <w:fldChar w:fldCharType="separate"/>
            </w:r>
            <w:r>
              <w:rPr>
                <w:color w:val="auto"/>
                <w:sz w:val="24"/>
                <w:highlight w:val="none"/>
              </w:rPr>
              <w:t>燃烧</w:t>
            </w:r>
            <w:r>
              <w:rPr>
                <w:color w:val="auto"/>
                <w:sz w:val="24"/>
                <w:highlight w:val="none"/>
              </w:rPr>
              <w:fldChar w:fldCharType="end"/>
            </w:r>
            <w:r>
              <w:rPr>
                <w:color w:val="auto"/>
                <w:sz w:val="24"/>
                <w:highlight w:val="none"/>
              </w:rPr>
              <w:t>。熔点-209.8</w:t>
            </w:r>
            <w:r>
              <w:rPr>
                <w:rFonts w:hint="eastAsia" w:ascii="宋体" w:hAnsi="宋体" w:cs="宋体"/>
                <w:color w:val="auto"/>
                <w:sz w:val="24"/>
                <w:highlight w:val="none"/>
              </w:rPr>
              <w:t>℃</w:t>
            </w:r>
            <w:r>
              <w:rPr>
                <w:color w:val="auto"/>
                <w:sz w:val="24"/>
                <w:highlight w:val="none"/>
              </w:rPr>
              <w:t>、</w:t>
            </w:r>
            <w:r>
              <w:rPr>
                <w:color w:val="auto"/>
                <w:highlight w:val="none"/>
              </w:rPr>
              <w:fldChar w:fldCharType="begin"/>
            </w:r>
            <w:r>
              <w:rPr>
                <w:color w:val="auto"/>
                <w:highlight w:val="none"/>
              </w:rPr>
              <w:instrText xml:space="preserve"> HYPERLINK "http://baike.baidu.com/view/81200.htm" </w:instrText>
            </w:r>
            <w:r>
              <w:rPr>
                <w:color w:val="auto"/>
                <w:highlight w:val="none"/>
              </w:rPr>
              <w:fldChar w:fldCharType="separate"/>
            </w:r>
            <w:r>
              <w:rPr>
                <w:color w:val="auto"/>
                <w:sz w:val="24"/>
                <w:highlight w:val="none"/>
              </w:rPr>
              <w:t>沸点</w:t>
            </w:r>
            <w:r>
              <w:rPr>
                <w:color w:val="auto"/>
                <w:sz w:val="24"/>
                <w:highlight w:val="none"/>
              </w:rPr>
              <w:fldChar w:fldCharType="end"/>
            </w:r>
            <w:r>
              <w:rPr>
                <w:color w:val="auto"/>
                <w:sz w:val="24"/>
                <w:highlight w:val="none"/>
              </w:rPr>
              <w:t>-190.56</w:t>
            </w:r>
            <w:r>
              <w:rPr>
                <w:rFonts w:hint="eastAsia" w:ascii="宋体" w:hAnsi="宋体" w:cs="宋体"/>
                <w:color w:val="auto"/>
                <w:sz w:val="24"/>
                <w:highlight w:val="none"/>
              </w:rPr>
              <w:t>℃</w:t>
            </w:r>
            <w:r>
              <w:rPr>
                <w:color w:val="auto"/>
                <w:sz w:val="24"/>
                <w:highlight w:val="none"/>
              </w:rPr>
              <w:t>、相对</w:t>
            </w:r>
            <w:r>
              <w:rPr>
                <w:color w:val="auto"/>
                <w:highlight w:val="none"/>
              </w:rPr>
              <w:fldChar w:fldCharType="begin"/>
            </w:r>
            <w:r>
              <w:rPr>
                <w:color w:val="auto"/>
                <w:highlight w:val="none"/>
              </w:rPr>
              <w:instrText xml:space="preserve"> HYPERLINK "http://baike.baidu.com/view/38960.htm" </w:instrText>
            </w:r>
            <w:r>
              <w:rPr>
                <w:color w:val="auto"/>
                <w:highlight w:val="none"/>
              </w:rPr>
              <w:fldChar w:fldCharType="separate"/>
            </w:r>
            <w:r>
              <w:rPr>
                <w:color w:val="auto"/>
                <w:sz w:val="24"/>
                <w:highlight w:val="none"/>
              </w:rPr>
              <w:t>密度</w:t>
            </w:r>
            <w:r>
              <w:rPr>
                <w:color w:val="auto"/>
                <w:sz w:val="24"/>
                <w:highlight w:val="none"/>
              </w:rPr>
              <w:fldChar w:fldCharType="end"/>
            </w:r>
            <w:r>
              <w:rPr>
                <w:color w:val="auto"/>
                <w:sz w:val="24"/>
                <w:highlight w:val="none"/>
              </w:rPr>
              <w:t>(水=1)：0.808(-196</w:t>
            </w:r>
            <w:r>
              <w:rPr>
                <w:rFonts w:hint="eastAsia" w:ascii="宋体" w:hAnsi="宋体" w:cs="宋体"/>
                <w:color w:val="auto"/>
                <w:sz w:val="24"/>
                <w:highlight w:val="none"/>
              </w:rPr>
              <w:t>℃</w:t>
            </w:r>
            <w:r>
              <w:rPr>
                <w:color w:val="auto"/>
                <w:sz w:val="24"/>
                <w:highlight w:val="none"/>
              </w:rPr>
              <w:t>)，微溶于水、乙醇。皮肤接触液氮可致冻伤。如在</w:t>
            </w:r>
            <w:r>
              <w:rPr>
                <w:color w:val="auto"/>
                <w:highlight w:val="none"/>
              </w:rPr>
              <w:fldChar w:fldCharType="begin"/>
            </w:r>
            <w:r>
              <w:rPr>
                <w:color w:val="auto"/>
                <w:highlight w:val="none"/>
              </w:rPr>
              <w:instrText xml:space="preserve"> HYPERLINK "http://baike.baidu.com/view/1105384.htm" </w:instrText>
            </w:r>
            <w:r>
              <w:rPr>
                <w:color w:val="auto"/>
                <w:highlight w:val="none"/>
              </w:rPr>
              <w:fldChar w:fldCharType="separate"/>
            </w:r>
            <w:r>
              <w:rPr>
                <w:color w:val="auto"/>
                <w:sz w:val="24"/>
                <w:highlight w:val="none"/>
              </w:rPr>
              <w:t>常压</w:t>
            </w:r>
            <w:r>
              <w:rPr>
                <w:color w:val="auto"/>
                <w:sz w:val="24"/>
                <w:highlight w:val="none"/>
              </w:rPr>
              <w:fldChar w:fldCharType="end"/>
            </w:r>
            <w:r>
              <w:rPr>
                <w:color w:val="auto"/>
                <w:sz w:val="24"/>
                <w:highlight w:val="none"/>
              </w:rPr>
              <w:t>下汽化产生的</w:t>
            </w:r>
            <w:r>
              <w:rPr>
                <w:color w:val="auto"/>
                <w:highlight w:val="none"/>
              </w:rPr>
              <w:fldChar w:fldCharType="begin"/>
            </w:r>
            <w:r>
              <w:rPr>
                <w:color w:val="auto"/>
                <w:highlight w:val="none"/>
              </w:rPr>
              <w:instrText xml:space="preserve"> HYPERLINK "http://baike.baidu.com/view/4885.htm" </w:instrText>
            </w:r>
            <w:r>
              <w:rPr>
                <w:color w:val="auto"/>
                <w:highlight w:val="none"/>
              </w:rPr>
              <w:fldChar w:fldCharType="separate"/>
            </w:r>
            <w:r>
              <w:rPr>
                <w:color w:val="auto"/>
                <w:sz w:val="24"/>
                <w:highlight w:val="none"/>
              </w:rPr>
              <w:t>氮气</w:t>
            </w:r>
            <w:r>
              <w:rPr>
                <w:color w:val="auto"/>
                <w:sz w:val="24"/>
                <w:highlight w:val="none"/>
              </w:rPr>
              <w:fldChar w:fldCharType="end"/>
            </w:r>
            <w:r>
              <w:rPr>
                <w:color w:val="auto"/>
                <w:sz w:val="24"/>
                <w:highlight w:val="none"/>
              </w:rPr>
              <w:t>过量，可使空气中</w:t>
            </w:r>
            <w:r>
              <w:rPr>
                <w:color w:val="auto"/>
                <w:highlight w:val="none"/>
              </w:rPr>
              <w:fldChar w:fldCharType="begin"/>
            </w:r>
            <w:r>
              <w:rPr>
                <w:color w:val="auto"/>
                <w:highlight w:val="none"/>
              </w:rPr>
              <w:instrText xml:space="preserve"> HYPERLINK "http://baike.baidu.com/view/1531302.htm" </w:instrText>
            </w:r>
            <w:r>
              <w:rPr>
                <w:color w:val="auto"/>
                <w:highlight w:val="none"/>
              </w:rPr>
              <w:fldChar w:fldCharType="separate"/>
            </w:r>
            <w:r>
              <w:rPr>
                <w:color w:val="auto"/>
                <w:sz w:val="24"/>
                <w:highlight w:val="none"/>
              </w:rPr>
              <w:t>氧分压</w:t>
            </w:r>
            <w:r>
              <w:rPr>
                <w:color w:val="auto"/>
                <w:sz w:val="24"/>
                <w:highlight w:val="none"/>
              </w:rPr>
              <w:fldChar w:fldCharType="end"/>
            </w:r>
            <w:r>
              <w:rPr>
                <w:color w:val="auto"/>
                <w:sz w:val="24"/>
                <w:highlight w:val="none"/>
              </w:rPr>
              <w:t>下降，极端情况下可能引起缺氧窒息。</w:t>
            </w:r>
          </w:p>
          <w:p>
            <w:pPr>
              <w:spacing w:line="360" w:lineRule="auto"/>
              <w:ind w:firstLine="480" w:firstLineChars="200"/>
              <w:rPr>
                <w:color w:val="auto"/>
                <w:sz w:val="24"/>
                <w:highlight w:val="none"/>
              </w:rPr>
            </w:pPr>
            <w:r>
              <w:rPr>
                <w:rFonts w:hint="eastAsia"/>
                <w:color w:val="auto"/>
                <w:sz w:val="24"/>
                <w:highlight w:val="none"/>
              </w:rPr>
              <w:t>（2）氨气</w:t>
            </w:r>
          </w:p>
          <w:p>
            <w:pPr>
              <w:spacing w:line="360" w:lineRule="auto"/>
              <w:ind w:firstLine="480" w:firstLineChars="200"/>
              <w:rPr>
                <w:color w:val="auto"/>
                <w:sz w:val="24"/>
                <w:highlight w:val="none"/>
              </w:rPr>
            </w:pPr>
            <w:r>
              <w:rPr>
                <w:color w:val="auto"/>
                <w:sz w:val="24"/>
                <w:highlight w:val="none"/>
              </w:rPr>
              <w:t>无色气体</w:t>
            </w:r>
            <w:r>
              <w:rPr>
                <w:rFonts w:hint="eastAsia"/>
                <w:color w:val="auto"/>
                <w:sz w:val="24"/>
                <w:highlight w:val="none"/>
              </w:rPr>
              <w:t>，</w:t>
            </w:r>
            <w:r>
              <w:rPr>
                <w:color w:val="auto"/>
                <w:sz w:val="24"/>
                <w:highlight w:val="none"/>
              </w:rPr>
              <w:t>有强烈的刺激气味。相对密度</w:t>
            </w:r>
            <w:r>
              <w:rPr>
                <w:rFonts w:hint="eastAsia"/>
                <w:color w:val="auto"/>
                <w:sz w:val="24"/>
                <w:highlight w:val="none"/>
              </w:rPr>
              <w:t>（</w:t>
            </w:r>
            <w:r>
              <w:rPr>
                <w:color w:val="auto"/>
                <w:sz w:val="24"/>
                <w:highlight w:val="none"/>
              </w:rPr>
              <w:t>空气=1.00</w:t>
            </w:r>
            <w:r>
              <w:rPr>
                <w:rFonts w:hint="eastAsia"/>
                <w:color w:val="auto"/>
                <w:sz w:val="24"/>
                <w:highlight w:val="none"/>
              </w:rPr>
              <w:t>）</w:t>
            </w:r>
            <w:r>
              <w:rPr>
                <w:color w:val="auto"/>
                <w:sz w:val="24"/>
                <w:highlight w:val="none"/>
              </w:rPr>
              <w:t>0.5971</w:t>
            </w:r>
            <w:r>
              <w:rPr>
                <w:rFonts w:hint="eastAsia"/>
                <w:color w:val="auto"/>
                <w:sz w:val="24"/>
                <w:highlight w:val="none"/>
              </w:rPr>
              <w:t>，</w:t>
            </w:r>
            <w:r>
              <w:rPr>
                <w:color w:val="auto"/>
                <w:sz w:val="24"/>
                <w:highlight w:val="none"/>
              </w:rPr>
              <w:t>易被液化成无色的液体</w:t>
            </w:r>
            <w:r>
              <w:rPr>
                <w:rFonts w:hint="eastAsia"/>
                <w:color w:val="auto"/>
                <w:sz w:val="24"/>
                <w:highlight w:val="none"/>
              </w:rPr>
              <w:t>，</w:t>
            </w:r>
            <w:r>
              <w:rPr>
                <w:color w:val="auto"/>
                <w:sz w:val="24"/>
                <w:highlight w:val="none"/>
              </w:rPr>
              <w:t>在常温下加压即可使其液化</w:t>
            </w:r>
            <w:r>
              <w:rPr>
                <w:rFonts w:hint="eastAsia"/>
                <w:color w:val="auto"/>
                <w:sz w:val="24"/>
                <w:highlight w:val="none"/>
              </w:rPr>
              <w:t>（</w:t>
            </w:r>
            <w:r>
              <w:rPr>
                <w:color w:val="auto"/>
                <w:sz w:val="24"/>
                <w:highlight w:val="none"/>
              </w:rPr>
              <w:t>临界温度132.4</w:t>
            </w:r>
            <w:r>
              <w:rPr>
                <w:rFonts w:hint="eastAsia"/>
                <w:color w:val="auto"/>
                <w:sz w:val="24"/>
                <w:highlight w:val="none"/>
              </w:rPr>
              <w:t>℃</w:t>
            </w:r>
            <w:r>
              <w:rPr>
                <w:color w:val="auto"/>
                <w:sz w:val="24"/>
                <w:highlight w:val="none"/>
              </w:rPr>
              <w:t>，临界压力11.2兆帕，即112.2大气压</w:t>
            </w:r>
            <w:r>
              <w:rPr>
                <w:rFonts w:hint="eastAsia"/>
                <w:color w:val="auto"/>
                <w:sz w:val="24"/>
                <w:highlight w:val="none"/>
              </w:rPr>
              <w:t>）</w:t>
            </w:r>
            <w:r>
              <w:rPr>
                <w:color w:val="auto"/>
                <w:sz w:val="24"/>
                <w:highlight w:val="none"/>
              </w:rPr>
              <w:t>。沸点-33.5</w:t>
            </w:r>
            <w:r>
              <w:rPr>
                <w:rFonts w:hint="eastAsia"/>
                <w:color w:val="auto"/>
                <w:sz w:val="24"/>
                <w:highlight w:val="none"/>
              </w:rPr>
              <w:t>℃，</w:t>
            </w:r>
            <w:r>
              <w:rPr>
                <w:color w:val="auto"/>
                <w:sz w:val="24"/>
                <w:highlight w:val="none"/>
              </w:rPr>
              <w:t>熔点-77.75</w:t>
            </w:r>
            <w:r>
              <w:rPr>
                <w:rFonts w:hint="eastAsia"/>
                <w:color w:val="auto"/>
                <w:sz w:val="24"/>
                <w:highlight w:val="none"/>
              </w:rPr>
              <w:t>℃</w:t>
            </w:r>
            <w:r>
              <w:rPr>
                <w:color w:val="auto"/>
                <w:sz w:val="24"/>
                <w:highlight w:val="none"/>
              </w:rPr>
              <w:t>。溶于水、乙醇和乙醚。在高温时会分解成氮气和氢气，有还原作用。能灼伤皮肤、眼睛、呼吸器官的粘膜，人吸入过多，能引起肺肿胀，以至死亡。</w:t>
            </w:r>
          </w:p>
          <w:p>
            <w:pPr>
              <w:spacing w:line="360" w:lineRule="auto"/>
              <w:ind w:firstLine="480" w:firstLineChars="200"/>
              <w:rPr>
                <w:color w:val="auto"/>
                <w:sz w:val="24"/>
                <w:highlight w:val="none"/>
              </w:rPr>
            </w:pPr>
            <w:r>
              <w:rPr>
                <w:rFonts w:hint="eastAsia"/>
                <w:color w:val="auto"/>
                <w:sz w:val="24"/>
                <w:highlight w:val="none"/>
              </w:rPr>
              <w:t>（3）丙烷</w:t>
            </w:r>
          </w:p>
          <w:p>
            <w:pPr>
              <w:spacing w:line="360" w:lineRule="auto"/>
              <w:ind w:firstLine="480" w:firstLineChars="200"/>
              <w:rPr>
                <w:color w:val="auto"/>
                <w:sz w:val="24"/>
                <w:highlight w:val="none"/>
              </w:rPr>
            </w:pPr>
            <w:r>
              <w:rPr>
                <w:rFonts w:hint="eastAsia"/>
                <w:color w:val="auto"/>
                <w:sz w:val="24"/>
                <w:highlight w:val="none"/>
              </w:rPr>
              <w:t>无色无臭气体，易燃，微溶于水，溶于乙醇、乙醚。</w:t>
            </w:r>
            <w:r>
              <w:rPr>
                <w:color w:val="auto"/>
                <w:sz w:val="24"/>
                <w:highlight w:val="none"/>
              </w:rPr>
              <w:t>相对密度</w:t>
            </w:r>
            <w:r>
              <w:rPr>
                <w:rFonts w:hint="eastAsia"/>
                <w:color w:val="auto"/>
                <w:sz w:val="24"/>
                <w:highlight w:val="none"/>
              </w:rPr>
              <w:t>（</w:t>
            </w:r>
            <w:r>
              <w:rPr>
                <w:color w:val="auto"/>
                <w:sz w:val="24"/>
                <w:highlight w:val="none"/>
              </w:rPr>
              <w:t>空气=1.00</w:t>
            </w:r>
            <w:r>
              <w:rPr>
                <w:rFonts w:hint="eastAsia"/>
                <w:color w:val="auto"/>
                <w:sz w:val="24"/>
                <w:highlight w:val="none"/>
              </w:rPr>
              <w:t>）1.56，沸点</w:t>
            </w:r>
            <w:r>
              <w:rPr>
                <w:color w:val="auto"/>
                <w:sz w:val="24"/>
                <w:highlight w:val="none"/>
              </w:rPr>
              <w:t>-</w:t>
            </w:r>
            <w:r>
              <w:rPr>
                <w:rFonts w:hint="eastAsia"/>
                <w:color w:val="auto"/>
                <w:sz w:val="24"/>
                <w:highlight w:val="none"/>
              </w:rPr>
              <w:t>42.09℃闪点-104℃，引燃温度450℃</w:t>
            </w:r>
            <w:r>
              <w:rPr>
                <w:color w:val="auto"/>
                <w:sz w:val="24"/>
                <w:highlight w:val="none"/>
              </w:rPr>
              <w:t>。</w:t>
            </w:r>
            <w:r>
              <w:rPr>
                <w:rFonts w:hint="eastAsia"/>
                <w:color w:val="auto"/>
                <w:sz w:val="24"/>
                <w:highlight w:val="none"/>
              </w:rPr>
              <w:t>爆炸上限%（V/V）9.5，爆炸下限%（V/V）2.1。丙烷属于微毒类，为纯真麻醉剂，对眼和皮肤无刺激，直接接触可致冻伤。</w:t>
            </w:r>
          </w:p>
          <w:p>
            <w:pPr>
              <w:spacing w:line="360" w:lineRule="auto"/>
              <w:ind w:firstLine="480" w:firstLineChars="200"/>
              <w:rPr>
                <w:color w:val="auto"/>
                <w:sz w:val="24"/>
                <w:highlight w:val="none"/>
              </w:rPr>
            </w:pPr>
            <w:r>
              <w:rPr>
                <w:rFonts w:hint="eastAsia"/>
                <w:color w:val="auto"/>
                <w:sz w:val="24"/>
                <w:highlight w:val="none"/>
              </w:rPr>
              <w:t>（4）甲醇</w:t>
            </w:r>
          </w:p>
          <w:p>
            <w:pPr>
              <w:spacing w:line="360" w:lineRule="auto"/>
              <w:ind w:firstLine="480" w:firstLineChars="200"/>
              <w:rPr>
                <w:color w:val="auto"/>
                <w:sz w:val="24"/>
                <w:highlight w:val="none"/>
              </w:rPr>
            </w:pPr>
            <w:r>
              <w:rPr>
                <w:rFonts w:hint="eastAsia"/>
                <w:color w:val="auto"/>
                <w:sz w:val="24"/>
                <w:highlight w:val="none"/>
              </w:rPr>
              <w:t>无色透明液体，有类似乙醇气味。</w:t>
            </w:r>
            <w:r>
              <w:rPr>
                <w:color w:val="auto"/>
                <w:sz w:val="24"/>
                <w:highlight w:val="none"/>
              </w:rPr>
              <w:t>相对密度</w:t>
            </w:r>
            <w:r>
              <w:rPr>
                <w:rFonts w:hint="eastAsia"/>
                <w:color w:val="auto"/>
                <w:sz w:val="24"/>
                <w:highlight w:val="none"/>
              </w:rPr>
              <w:t>（</w:t>
            </w:r>
            <w:r>
              <w:rPr>
                <w:color w:val="auto"/>
                <w:sz w:val="24"/>
                <w:highlight w:val="none"/>
              </w:rPr>
              <w:t>空气=1.00</w:t>
            </w:r>
            <w:r>
              <w:rPr>
                <w:rFonts w:hint="eastAsia"/>
                <w:color w:val="auto"/>
                <w:sz w:val="24"/>
                <w:highlight w:val="none"/>
              </w:rPr>
              <w:t>）1.11，沸点</w:t>
            </w:r>
            <w:r>
              <w:rPr>
                <w:color w:val="auto"/>
                <w:sz w:val="24"/>
                <w:highlight w:val="none"/>
              </w:rPr>
              <w:t>-</w:t>
            </w:r>
            <w:r>
              <w:rPr>
                <w:rFonts w:hint="eastAsia"/>
                <w:color w:val="auto"/>
                <w:sz w:val="24"/>
                <w:highlight w:val="none"/>
              </w:rPr>
              <w:t>64.5℃，闪点11℃，爆炸上限%（V/V）44.0，爆炸下限%（V/V）5.5。</w:t>
            </w:r>
            <w:r>
              <w:rPr>
                <w:color w:val="auto"/>
                <w:sz w:val="24"/>
                <w:highlight w:val="none"/>
              </w:rPr>
              <w:t>甲醇对人体有强烈毒性，对中枢神经系统有麻醉作用；对视神经和视网膜有特殊选择作用，引起病变；可致代谢性酸中毒。急性毒性</w:t>
            </w:r>
            <w:r>
              <w:rPr>
                <w:rFonts w:hint="eastAsia"/>
                <w:color w:val="auto"/>
                <w:sz w:val="24"/>
                <w:highlight w:val="none"/>
              </w:rPr>
              <w:t>数据为：</w:t>
            </w:r>
            <w:r>
              <w:rPr>
                <w:color w:val="auto"/>
                <w:sz w:val="24"/>
                <w:highlight w:val="none"/>
              </w:rPr>
              <w:t>LD505628mg/kg</w:t>
            </w:r>
            <w:r>
              <w:rPr>
                <w:rFonts w:hint="eastAsia"/>
                <w:color w:val="auto"/>
                <w:sz w:val="24"/>
                <w:highlight w:val="none"/>
              </w:rPr>
              <w:t>（</w:t>
            </w:r>
            <w:r>
              <w:rPr>
                <w:color w:val="auto"/>
                <w:sz w:val="24"/>
                <w:highlight w:val="none"/>
              </w:rPr>
              <w:t>大鼠经口</w:t>
            </w:r>
            <w:r>
              <w:rPr>
                <w:rFonts w:hint="eastAsia"/>
                <w:color w:val="auto"/>
                <w:sz w:val="24"/>
                <w:highlight w:val="none"/>
              </w:rPr>
              <w:t>）</w:t>
            </w:r>
            <w:r>
              <w:rPr>
                <w:color w:val="auto"/>
                <w:sz w:val="24"/>
                <w:highlight w:val="none"/>
              </w:rPr>
              <w:t>；15800mg/kg</w:t>
            </w:r>
            <w:r>
              <w:rPr>
                <w:rFonts w:hint="eastAsia"/>
                <w:color w:val="auto"/>
                <w:sz w:val="24"/>
                <w:highlight w:val="none"/>
              </w:rPr>
              <w:t>（</w:t>
            </w:r>
            <w:r>
              <w:rPr>
                <w:color w:val="auto"/>
                <w:sz w:val="24"/>
                <w:highlight w:val="none"/>
              </w:rPr>
              <w:t>兔经皮</w:t>
            </w:r>
            <w:r>
              <w:rPr>
                <w:rFonts w:hint="eastAsia"/>
                <w:color w:val="auto"/>
                <w:sz w:val="24"/>
                <w:highlight w:val="none"/>
              </w:rPr>
              <w:t>）</w:t>
            </w:r>
            <w:r>
              <w:rPr>
                <w:color w:val="auto"/>
                <w:sz w:val="24"/>
                <w:highlight w:val="none"/>
              </w:rPr>
              <w:t>；LC5082776mg/kg，4小时</w:t>
            </w:r>
            <w:r>
              <w:rPr>
                <w:rFonts w:hint="eastAsia"/>
                <w:color w:val="auto"/>
                <w:sz w:val="24"/>
                <w:highlight w:val="none"/>
              </w:rPr>
              <w:t>（</w:t>
            </w:r>
            <w:r>
              <w:rPr>
                <w:color w:val="auto"/>
                <w:sz w:val="24"/>
                <w:highlight w:val="none"/>
              </w:rPr>
              <w:t>大鼠吸</w:t>
            </w:r>
          </w:p>
          <w:p>
            <w:pPr>
              <w:spacing w:line="360" w:lineRule="auto"/>
              <w:rPr>
                <w:color w:val="auto"/>
                <w:sz w:val="24"/>
                <w:highlight w:val="none"/>
              </w:rPr>
            </w:pPr>
            <w:r>
              <w:rPr>
                <w:color w:val="auto"/>
                <w:sz w:val="24"/>
                <w:highlight w:val="none"/>
              </w:rPr>
              <w:t>入)</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（5）乳化液</w:t>
            </w:r>
          </w:p>
          <w:p>
            <w:pPr>
              <w:spacing w:line="360" w:lineRule="auto"/>
              <w:ind w:firstLine="480" w:firstLineChars="200"/>
              <w:rPr>
                <w:color w:val="auto"/>
                <w:sz w:val="24"/>
                <w:highlight w:val="none"/>
              </w:rPr>
            </w:pPr>
            <w:r>
              <w:rPr>
                <w:rFonts w:hint="eastAsia"/>
                <w:color w:val="auto"/>
                <w:sz w:val="24"/>
                <w:highlight w:val="none"/>
              </w:rPr>
              <w:t>橙黄色透明液体，其主要化学成分包括：水、基础油（矿物油、植物油、合成酯或它们的混合物）、表面活性剂、防锈添加剂（环烷酸锌、石油磺酸钠、石油磺酸钡、苯并三唑，山梨糖醇单油酸酯、硬脂酸铝）、极压添加剂（含硫、磷、氯等元素的极性化合物）、摩擦改进剂（减摩剂或油性添加剂）、抗氧化剂。无闪点，稳定，密度</w:t>
            </w:r>
            <w:r>
              <w:rPr>
                <w:color w:val="auto"/>
                <w:sz w:val="24"/>
                <w:highlight w:val="none"/>
              </w:rPr>
              <w:t>0.89kg/L</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（6）抛光喷砂液</w:t>
            </w:r>
          </w:p>
          <w:p>
            <w:pPr>
              <w:spacing w:line="360" w:lineRule="auto"/>
              <w:ind w:firstLine="480" w:firstLineChars="200"/>
              <w:rPr>
                <w:color w:val="auto"/>
                <w:sz w:val="24"/>
                <w:highlight w:val="none"/>
              </w:rPr>
            </w:pPr>
            <w:r>
              <w:rPr>
                <w:rFonts w:hint="eastAsia"/>
                <w:color w:val="auto"/>
                <w:sz w:val="24"/>
                <w:highlight w:val="none"/>
              </w:rPr>
              <w:t>本项目使用水溶性抛光喷砂液，主要由研磨材料（金刚石微粉）、水（约占80%）组成。抛光时加纯净水稀释抛光液后，利用喷嘴将抛光液喷到工件表面，利用工件与抛光器具的相对运动进行抛光。</w:t>
            </w:r>
          </w:p>
          <w:p>
            <w:pPr>
              <w:spacing w:line="360" w:lineRule="auto"/>
              <w:ind w:firstLine="480" w:firstLineChars="200"/>
              <w:rPr>
                <w:color w:val="auto"/>
                <w:sz w:val="24"/>
                <w:highlight w:val="none"/>
              </w:rPr>
            </w:pPr>
            <w:r>
              <w:rPr>
                <w:rFonts w:hint="eastAsia"/>
                <w:color w:val="auto"/>
                <w:sz w:val="24"/>
                <w:highlight w:val="none"/>
              </w:rPr>
              <w:t>（7）防锈油、切削油、磨削油、润滑脂、冲压油</w:t>
            </w:r>
          </w:p>
          <w:p>
            <w:pPr>
              <w:spacing w:line="360" w:lineRule="auto"/>
              <w:ind w:firstLine="480" w:firstLineChars="200"/>
              <w:rPr>
                <w:color w:val="auto"/>
                <w:sz w:val="24"/>
                <w:highlight w:val="none"/>
              </w:rPr>
            </w:pPr>
            <w:r>
              <w:rPr>
                <w:rFonts w:hint="eastAsia"/>
                <w:color w:val="auto"/>
                <w:sz w:val="24"/>
                <w:highlight w:val="none"/>
              </w:rPr>
              <w:t>主要成分为矿物油，用于防锈、润滑，闪点及燃点温度高，具有良好的热稳定性。</w:t>
            </w:r>
          </w:p>
          <w:p>
            <w:pPr>
              <w:spacing w:line="360" w:lineRule="auto"/>
              <w:ind w:firstLine="480" w:firstLineChars="200"/>
              <w:rPr>
                <w:color w:val="auto"/>
                <w:sz w:val="24"/>
                <w:highlight w:val="none"/>
              </w:rPr>
            </w:pPr>
            <w:r>
              <w:rPr>
                <w:rFonts w:hint="eastAsia"/>
                <w:color w:val="auto"/>
                <w:sz w:val="24"/>
                <w:highlight w:val="none"/>
              </w:rPr>
              <w:t>（8）淬火油</w:t>
            </w:r>
          </w:p>
          <w:p>
            <w:pPr>
              <w:spacing w:line="360" w:lineRule="auto"/>
              <w:ind w:firstLine="480" w:firstLineChars="200"/>
              <w:rPr>
                <w:color w:val="auto"/>
                <w:sz w:val="24"/>
                <w:highlight w:val="none"/>
              </w:rPr>
            </w:pPr>
            <w:r>
              <w:rPr>
                <w:rFonts w:hint="eastAsia"/>
                <w:color w:val="auto"/>
                <w:sz w:val="24"/>
                <w:highlight w:val="none"/>
              </w:rPr>
              <w:t>淬火油为矿物油，具有良好的冷却特性，闪点及燃点温度高，具有良好的热稳定性。</w:t>
            </w:r>
          </w:p>
          <w:p>
            <w:pPr>
              <w:spacing w:line="360" w:lineRule="auto"/>
              <w:ind w:firstLine="480" w:firstLineChars="200"/>
              <w:rPr>
                <w:color w:val="auto"/>
                <w:sz w:val="24"/>
                <w:highlight w:val="none"/>
              </w:rPr>
            </w:pPr>
            <w:r>
              <w:rPr>
                <w:rFonts w:hint="eastAsia"/>
                <w:color w:val="auto"/>
                <w:sz w:val="24"/>
                <w:highlight w:val="none"/>
              </w:rPr>
              <w:t>（9）清洗剂</w:t>
            </w:r>
          </w:p>
          <w:p>
            <w:pPr>
              <w:spacing w:line="360" w:lineRule="auto"/>
              <w:ind w:firstLine="480" w:firstLineChars="200"/>
              <w:rPr>
                <w:color w:val="auto"/>
                <w:sz w:val="24"/>
                <w:highlight w:val="none"/>
              </w:rPr>
            </w:pPr>
            <w:r>
              <w:rPr>
                <w:rFonts w:hint="eastAsia"/>
                <w:color w:val="auto"/>
                <w:sz w:val="24"/>
                <w:highlight w:val="none"/>
              </w:rPr>
              <w:t>本项目清洗剂有2种，一种为68%硝酸溶液，一种为086和533配制的混合液，主要成分为轻质石油。</w:t>
            </w:r>
          </w:p>
          <w:p>
            <w:pPr>
              <w:spacing w:line="360" w:lineRule="auto"/>
              <w:ind w:firstLine="480" w:firstLineChars="200"/>
              <w:rPr>
                <w:color w:val="auto"/>
                <w:sz w:val="24"/>
                <w:highlight w:val="none"/>
              </w:rPr>
            </w:pPr>
            <w:r>
              <w:rPr>
                <w:rFonts w:hint="eastAsia"/>
                <w:color w:val="auto"/>
                <w:sz w:val="24"/>
                <w:highlight w:val="none"/>
              </w:rPr>
              <w:t>（10）PPS塑料</w:t>
            </w:r>
          </w:p>
          <w:p>
            <w:pPr>
              <w:spacing w:line="360" w:lineRule="auto"/>
              <w:ind w:firstLine="480" w:firstLineChars="200"/>
              <w:rPr>
                <w:color w:val="auto"/>
                <w:sz w:val="24"/>
                <w:highlight w:val="none"/>
              </w:rPr>
            </w:pPr>
            <w:r>
              <w:rPr>
                <w:rFonts w:hint="eastAsia"/>
                <w:color w:val="auto"/>
                <w:sz w:val="24"/>
                <w:highlight w:val="none"/>
              </w:rPr>
              <w:t>PPS（聚苯硫醚）塑料熔点范围为280~330℃，空气条件下温度在430~460℃以上PPS才发生分解。</w:t>
            </w:r>
          </w:p>
          <w:p>
            <w:pPr>
              <w:spacing w:line="360" w:lineRule="auto"/>
              <w:ind w:firstLine="480" w:firstLineChars="200"/>
              <w:rPr>
                <w:color w:val="auto"/>
                <w:sz w:val="24"/>
                <w:highlight w:val="none"/>
              </w:rPr>
            </w:pPr>
            <w:r>
              <w:rPr>
                <w:rFonts w:hint="eastAsia"/>
                <w:color w:val="auto"/>
                <w:sz w:val="24"/>
                <w:highlight w:val="none"/>
              </w:rPr>
              <w:t>（11）PA66GF25塑料</w:t>
            </w:r>
          </w:p>
          <w:p>
            <w:pPr>
              <w:spacing w:line="360" w:lineRule="auto"/>
              <w:ind w:firstLine="480" w:firstLineChars="200"/>
              <w:rPr>
                <w:color w:val="auto"/>
                <w:sz w:val="24"/>
                <w:highlight w:val="none"/>
              </w:rPr>
            </w:pPr>
            <w:r>
              <w:rPr>
                <w:rFonts w:hint="eastAsia"/>
                <w:color w:val="auto"/>
                <w:sz w:val="24"/>
                <w:highlight w:val="none"/>
              </w:rPr>
              <w:t>PA66GF25（聚己二酰己二胺）塑料熔点为250℃左右，空气条件下温度在350℃以上PA66GF25才发生分解。</w:t>
            </w:r>
          </w:p>
          <w:p>
            <w:pPr>
              <w:spacing w:line="360" w:lineRule="auto"/>
              <w:ind w:firstLine="480" w:firstLineChars="200"/>
              <w:rPr>
                <w:color w:val="auto"/>
                <w:sz w:val="24"/>
                <w:highlight w:val="none"/>
              </w:rPr>
            </w:pPr>
            <w:r>
              <w:rPr>
                <w:rFonts w:hint="eastAsia"/>
                <w:color w:val="auto"/>
                <w:sz w:val="24"/>
                <w:highlight w:val="none"/>
              </w:rPr>
              <w:t>（12）去毛刺电解液</w:t>
            </w:r>
          </w:p>
          <w:p>
            <w:pPr>
              <w:spacing w:line="360" w:lineRule="auto"/>
              <w:ind w:firstLine="480" w:firstLineChars="200"/>
              <w:rPr>
                <w:color w:val="auto"/>
                <w:sz w:val="24"/>
                <w:highlight w:val="none"/>
              </w:rPr>
            </w:pPr>
            <w:r>
              <w:rPr>
                <w:rFonts w:hint="eastAsia"/>
                <w:color w:val="auto"/>
                <w:sz w:val="24"/>
                <w:highlight w:val="none"/>
              </w:rPr>
              <w:t>主要成分为硝酸钠水溶液。</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1.</w:t>
            </w:r>
            <w:r>
              <w:rPr>
                <w:b/>
                <w:color w:val="auto"/>
                <w:spacing w:val="4"/>
                <w:sz w:val="24"/>
                <w:szCs w:val="24"/>
                <w:highlight w:val="none"/>
              </w:rPr>
              <w:t>2.</w:t>
            </w:r>
            <w:r>
              <w:rPr>
                <w:rFonts w:hint="eastAsia"/>
                <w:b/>
                <w:color w:val="auto"/>
                <w:spacing w:val="4"/>
                <w:sz w:val="24"/>
                <w:szCs w:val="24"/>
                <w:highlight w:val="none"/>
              </w:rPr>
              <w:t>5 公用工程</w:t>
            </w:r>
          </w:p>
          <w:p>
            <w:pPr>
              <w:spacing w:line="360" w:lineRule="auto"/>
              <w:ind w:firstLine="480" w:firstLineChars="200"/>
              <w:rPr>
                <w:color w:val="auto"/>
                <w:sz w:val="24"/>
                <w:highlight w:val="none"/>
              </w:rPr>
            </w:pPr>
            <w:r>
              <w:rPr>
                <w:rFonts w:hint="eastAsia"/>
                <w:color w:val="auto"/>
                <w:sz w:val="24"/>
                <w:highlight w:val="none"/>
              </w:rPr>
              <w:t>（1）给水</w:t>
            </w:r>
          </w:p>
          <w:p>
            <w:pPr>
              <w:spacing w:line="360" w:lineRule="auto"/>
              <w:ind w:firstLine="480" w:firstLineChars="200"/>
              <w:rPr>
                <w:color w:val="auto"/>
                <w:sz w:val="24"/>
                <w:highlight w:val="none"/>
              </w:rPr>
            </w:pPr>
            <w:r>
              <w:rPr>
                <w:rFonts w:hint="eastAsia"/>
                <w:color w:val="auto"/>
                <w:sz w:val="24"/>
                <w:highlight w:val="none"/>
              </w:rPr>
              <w:t>本项目厂区生活用水、车间拖地用水由湘潭经济技术开发区自来水管网供应，用水量为</w:t>
            </w:r>
            <w:r>
              <w:rPr>
                <w:rFonts w:hint="eastAsia"/>
                <w:bCs/>
                <w:color w:val="auto"/>
                <w:sz w:val="24"/>
                <w:highlight w:val="none"/>
              </w:rPr>
              <w:t>18870t/a</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项目生产抛光喷砂过程需使用纯净水调配抛光喷砂液，用水量约60t/a。</w:t>
            </w:r>
          </w:p>
          <w:p>
            <w:pPr>
              <w:spacing w:line="360" w:lineRule="auto"/>
              <w:ind w:firstLine="480" w:firstLineChars="200"/>
              <w:rPr>
                <w:color w:val="auto"/>
                <w:sz w:val="24"/>
                <w:highlight w:val="none"/>
              </w:rPr>
            </w:pPr>
            <w:r>
              <w:rPr>
                <w:rFonts w:hint="eastAsia"/>
                <w:color w:val="auto"/>
                <w:sz w:val="24"/>
                <w:highlight w:val="none"/>
              </w:rPr>
              <w:t>（2）排水</w:t>
            </w:r>
          </w:p>
          <w:p>
            <w:pPr>
              <w:spacing w:line="360" w:lineRule="auto"/>
              <w:ind w:firstLine="480" w:firstLineChars="200"/>
              <w:rPr>
                <w:color w:val="auto"/>
                <w:sz w:val="24"/>
                <w:highlight w:val="none"/>
              </w:rPr>
            </w:pPr>
            <w:r>
              <w:rPr>
                <w:rFonts w:hint="eastAsia"/>
                <w:color w:val="auto"/>
                <w:sz w:val="24"/>
                <w:highlight w:val="none"/>
              </w:rPr>
              <w:t>本项目抛光、喷砂、拖地含油废水以及员工生活废水中的食堂含油污水经隔油沉淀池处理后，与其他生活废水进入化粪池处理，然后经湘潭经济技术开发区城市污水管网排入湘潭市九华污水处理厂处理达到</w:t>
            </w:r>
            <w:r>
              <w:rPr>
                <w:color w:val="auto"/>
                <w:sz w:val="24"/>
                <w:highlight w:val="none"/>
              </w:rPr>
              <w:t>《城镇污水处理厂污染物排放标准》</w:t>
            </w:r>
            <w:r>
              <w:rPr>
                <w:rFonts w:hint="eastAsia"/>
                <w:color w:val="auto"/>
                <w:sz w:val="24"/>
                <w:highlight w:val="none"/>
              </w:rPr>
              <w:t>（</w:t>
            </w:r>
            <w:r>
              <w:rPr>
                <w:color w:val="auto"/>
                <w:sz w:val="24"/>
                <w:highlight w:val="none"/>
              </w:rPr>
              <w:t>GBl8918</w:t>
            </w:r>
            <w:r>
              <w:rPr>
                <w:rFonts w:hint="eastAsia"/>
                <w:color w:val="auto"/>
                <w:sz w:val="24"/>
                <w:highlight w:val="none"/>
              </w:rPr>
              <w:t>-</w:t>
            </w:r>
            <w:r>
              <w:rPr>
                <w:color w:val="auto"/>
                <w:sz w:val="24"/>
                <w:highlight w:val="none"/>
              </w:rPr>
              <w:t>2002</w:t>
            </w:r>
            <w:r>
              <w:rPr>
                <w:rFonts w:hint="eastAsia"/>
                <w:color w:val="auto"/>
                <w:sz w:val="24"/>
                <w:highlight w:val="none"/>
              </w:rPr>
              <w:t>）</w:t>
            </w:r>
            <w:r>
              <w:rPr>
                <w:color w:val="auto"/>
                <w:sz w:val="24"/>
                <w:highlight w:val="none"/>
              </w:rPr>
              <w:t>一级</w:t>
            </w:r>
            <w:r>
              <w:rPr>
                <w:rFonts w:hint="eastAsia"/>
                <w:color w:val="auto"/>
                <w:sz w:val="24"/>
                <w:highlight w:val="none"/>
              </w:rPr>
              <w:t>A</w:t>
            </w:r>
            <w:r>
              <w:rPr>
                <w:color w:val="auto"/>
                <w:sz w:val="24"/>
                <w:highlight w:val="none"/>
              </w:rPr>
              <w:t>标准</w:t>
            </w:r>
            <w:r>
              <w:rPr>
                <w:rFonts w:hint="eastAsia"/>
                <w:color w:val="auto"/>
                <w:sz w:val="24"/>
                <w:highlight w:val="none"/>
              </w:rPr>
              <w:t>后最终汇入湘江。</w:t>
            </w:r>
          </w:p>
          <w:p>
            <w:pPr>
              <w:spacing w:line="360" w:lineRule="auto"/>
              <w:ind w:firstLine="480" w:firstLineChars="200"/>
              <w:rPr>
                <w:color w:val="auto"/>
                <w:sz w:val="24"/>
                <w:highlight w:val="none"/>
              </w:rPr>
            </w:pPr>
            <w:r>
              <w:rPr>
                <w:rFonts w:hint="eastAsia"/>
                <w:color w:val="auto"/>
                <w:sz w:val="24"/>
                <w:highlight w:val="none"/>
              </w:rPr>
              <w:t>（3）供电</w:t>
            </w:r>
          </w:p>
          <w:p>
            <w:pPr>
              <w:spacing w:line="360" w:lineRule="auto"/>
              <w:ind w:firstLine="480" w:firstLineChars="200"/>
              <w:rPr>
                <w:color w:val="auto"/>
                <w:sz w:val="24"/>
                <w:highlight w:val="none"/>
              </w:rPr>
            </w:pPr>
            <w:r>
              <w:rPr>
                <w:rFonts w:hint="eastAsia"/>
                <w:color w:val="auto"/>
                <w:sz w:val="24"/>
                <w:highlight w:val="none"/>
              </w:rPr>
              <w:t>项目用电由湘潭经济技术开发区供电系统引入厂区110kv变电站。</w:t>
            </w:r>
          </w:p>
          <w:p>
            <w:pPr>
              <w:spacing w:line="360" w:lineRule="auto"/>
              <w:ind w:firstLine="480" w:firstLineChars="200"/>
              <w:rPr>
                <w:color w:val="auto"/>
                <w:sz w:val="24"/>
                <w:highlight w:val="none"/>
              </w:rPr>
            </w:pPr>
            <w:r>
              <w:rPr>
                <w:rFonts w:hint="eastAsia"/>
                <w:color w:val="auto"/>
                <w:sz w:val="24"/>
                <w:highlight w:val="none"/>
              </w:rPr>
              <w:t>（4）暖通</w:t>
            </w:r>
          </w:p>
          <w:p>
            <w:pPr>
              <w:spacing w:line="360" w:lineRule="auto"/>
              <w:ind w:firstLine="480" w:firstLineChars="200"/>
              <w:rPr>
                <w:color w:val="auto"/>
                <w:sz w:val="24"/>
                <w:highlight w:val="none"/>
              </w:rPr>
            </w:pPr>
            <w:r>
              <w:rPr>
                <w:rFonts w:hint="eastAsia"/>
                <w:color w:val="auto"/>
                <w:sz w:val="24"/>
                <w:highlight w:val="none"/>
              </w:rPr>
              <w:t>项目办公中心安装一套中央空调系统供热制冷，空调压缩机组布置在办公中心楼顶。</w:t>
            </w:r>
          </w:p>
          <w:p>
            <w:pPr>
              <w:spacing w:line="360" w:lineRule="auto"/>
              <w:ind w:firstLine="480" w:firstLineChars="200"/>
              <w:rPr>
                <w:color w:val="auto"/>
                <w:sz w:val="24"/>
                <w:highlight w:val="none"/>
              </w:rPr>
            </w:pPr>
            <w:r>
              <w:rPr>
                <w:rFonts w:hint="eastAsia"/>
                <w:color w:val="auto"/>
                <w:sz w:val="24"/>
                <w:highlight w:val="none"/>
              </w:rPr>
              <w:t>项目厨房供热能源为空压机回收热、屋面太阳能，辅助电加热。</w:t>
            </w: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1.3</w:t>
            </w:r>
            <w:r>
              <w:rPr>
                <w:rFonts w:ascii="宋体" w:hAnsi="宋体"/>
                <w:b/>
                <w:bCs/>
                <w:color w:val="auto"/>
                <w:spacing w:val="-8"/>
                <w:sz w:val="28"/>
                <w:szCs w:val="28"/>
                <w:highlight w:val="none"/>
              </w:rPr>
              <w:t>与本项目有关的原有污染情况及主要环境问题</w:t>
            </w:r>
            <w:r>
              <w:rPr>
                <w:rFonts w:hint="eastAsia" w:ascii="宋体" w:hAnsi="宋体"/>
                <w:b/>
                <w:bCs/>
                <w:color w:val="auto"/>
                <w:spacing w:val="-8"/>
                <w:sz w:val="28"/>
                <w:szCs w:val="28"/>
                <w:highlight w:val="none"/>
              </w:rPr>
              <w:t>：</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 xml:space="preserve">1.3.1 </w:t>
            </w:r>
            <w:r>
              <w:rPr>
                <w:b/>
                <w:color w:val="auto"/>
                <w:spacing w:val="4"/>
                <w:sz w:val="24"/>
                <w:szCs w:val="24"/>
                <w:highlight w:val="none"/>
              </w:rPr>
              <w:t>项目自身存在的环境问题</w:t>
            </w:r>
          </w:p>
          <w:p>
            <w:pPr>
              <w:spacing w:line="360" w:lineRule="auto"/>
              <w:ind w:firstLine="480" w:firstLineChars="200"/>
              <w:rPr>
                <w:color w:val="auto"/>
                <w:sz w:val="24"/>
                <w:highlight w:val="none"/>
              </w:rPr>
            </w:pPr>
            <w:r>
              <w:rPr>
                <w:rFonts w:hint="eastAsia"/>
                <w:color w:val="auto"/>
                <w:sz w:val="24"/>
                <w:highlight w:val="none"/>
              </w:rPr>
              <w:t>本项目为新建项目。</w:t>
            </w:r>
          </w:p>
          <w:p>
            <w:pPr>
              <w:spacing w:line="360" w:lineRule="auto"/>
              <w:ind w:firstLine="480" w:firstLineChars="200"/>
              <w:rPr>
                <w:color w:val="auto"/>
                <w:sz w:val="24"/>
                <w:highlight w:val="none"/>
              </w:rPr>
            </w:pPr>
            <w:r>
              <w:rPr>
                <w:rFonts w:hint="eastAsia"/>
                <w:color w:val="auto"/>
                <w:sz w:val="24"/>
                <w:highlight w:val="none"/>
              </w:rPr>
              <w:t>现场查看可知，项目拟建地东部已经完成土地平整，西部拆迁工作已完成，但是尚未进行土地平整，仍保持原始的城郊风貌。</w:t>
            </w:r>
          </w:p>
          <w:p>
            <w:pPr>
              <w:spacing w:line="360" w:lineRule="auto"/>
              <w:ind w:firstLine="480" w:firstLineChars="200"/>
              <w:rPr>
                <w:color w:val="auto"/>
                <w:sz w:val="24"/>
                <w:highlight w:val="none"/>
              </w:rPr>
            </w:pPr>
            <w:r>
              <w:rPr>
                <w:rFonts w:hint="eastAsia"/>
                <w:color w:val="auto"/>
                <w:sz w:val="24"/>
                <w:highlight w:val="none"/>
              </w:rPr>
              <w:t>下图1-2为项目拟建地现场照片。</w:t>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tbl>
            <w:tblPr>
              <w:tblStyle w:val="29"/>
              <w:tblW w:w="9441" w:type="dxa"/>
              <w:jc w:val="center"/>
              <w:tblInd w:w="0" w:type="dxa"/>
              <w:tblLayout w:type="fixed"/>
              <w:tblCellMar>
                <w:top w:w="0" w:type="dxa"/>
                <w:left w:w="108" w:type="dxa"/>
                <w:bottom w:w="0" w:type="dxa"/>
                <w:right w:w="108" w:type="dxa"/>
              </w:tblCellMar>
            </w:tblPr>
            <w:tblGrid>
              <w:gridCol w:w="4596"/>
              <w:gridCol w:w="4845"/>
            </w:tblGrid>
            <w:tr>
              <w:tblPrEx>
                <w:tblLayout w:type="fixed"/>
                <w:tblCellMar>
                  <w:top w:w="0" w:type="dxa"/>
                  <w:left w:w="108" w:type="dxa"/>
                  <w:bottom w:w="0" w:type="dxa"/>
                  <w:right w:w="108" w:type="dxa"/>
                </w:tblCellMar>
              </w:tblPrEx>
              <w:trPr>
                <w:trHeight w:val="397" w:hRule="atLeast"/>
                <w:jc w:val="center"/>
              </w:trPr>
              <w:tc>
                <w:tcPr>
                  <w:tcW w:w="4596" w:type="dxa"/>
                  <w:vAlign w:val="center"/>
                </w:tcPr>
                <w:p>
                  <w:pPr>
                    <w:spacing w:line="360" w:lineRule="auto"/>
                    <w:jc w:val="center"/>
                    <w:rPr>
                      <w:color w:val="auto"/>
                      <w:sz w:val="24"/>
                      <w:highlight w:val="none"/>
                    </w:rPr>
                  </w:pPr>
                  <w:r>
                    <w:rPr>
                      <w:color w:val="auto"/>
                      <w:sz w:val="24"/>
                      <w:highlight w:val="none"/>
                    </w:rPr>
                    <w:drawing>
                      <wp:inline distT="0" distB="0" distL="0" distR="0">
                        <wp:extent cx="2752725" cy="20097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cstate="print"/>
                                <a:srcRect/>
                                <a:stretch>
                                  <a:fillRect/>
                                </a:stretch>
                              </pic:blipFill>
                              <pic:spPr>
                                <a:xfrm>
                                  <a:off x="0" y="0"/>
                                  <a:ext cx="2752725" cy="2009775"/>
                                </a:xfrm>
                                <a:prstGeom prst="rect">
                                  <a:avLst/>
                                </a:prstGeom>
                                <a:noFill/>
                                <a:ln w="9525">
                                  <a:noFill/>
                                  <a:miter lim="800000"/>
                                  <a:headEnd/>
                                  <a:tailEnd/>
                                </a:ln>
                              </pic:spPr>
                            </pic:pic>
                          </a:graphicData>
                        </a:graphic>
                      </wp:inline>
                    </w:drawing>
                  </w:r>
                </w:p>
              </w:tc>
              <w:tc>
                <w:tcPr>
                  <w:tcW w:w="4845" w:type="dxa"/>
                  <w:vAlign w:val="center"/>
                </w:tcPr>
                <w:p>
                  <w:pPr>
                    <w:spacing w:line="360" w:lineRule="auto"/>
                    <w:ind w:firstLine="480" w:firstLineChars="200"/>
                    <w:rPr>
                      <w:color w:val="auto"/>
                      <w:sz w:val="24"/>
                      <w:highlight w:val="none"/>
                    </w:rPr>
                  </w:pPr>
                  <w:r>
                    <w:rPr>
                      <w:color w:val="auto"/>
                      <w:sz w:val="24"/>
                      <w:highlight w:val="none"/>
                    </w:rPr>
                    <w:drawing>
                      <wp:inline distT="0" distB="0" distL="0" distR="0">
                        <wp:extent cx="2676525" cy="2009775"/>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srcRect r="5476"/>
                                <a:stretch>
                                  <a:fillRect/>
                                </a:stretch>
                              </pic:blipFill>
                              <pic:spPr>
                                <a:xfrm>
                                  <a:off x="0" y="0"/>
                                  <a:ext cx="2676525" cy="2009775"/>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rPr>
                <w:trHeight w:val="397" w:hRule="atLeast"/>
                <w:jc w:val="center"/>
              </w:trPr>
              <w:tc>
                <w:tcPr>
                  <w:tcW w:w="4596" w:type="dxa"/>
                  <w:vAlign w:val="center"/>
                </w:tcPr>
                <w:p>
                  <w:pPr>
                    <w:spacing w:line="360" w:lineRule="auto"/>
                    <w:ind w:firstLine="422" w:firstLineChars="200"/>
                    <w:jc w:val="center"/>
                    <w:rPr>
                      <w:b/>
                      <w:color w:val="auto"/>
                      <w:szCs w:val="21"/>
                      <w:highlight w:val="none"/>
                    </w:rPr>
                  </w:pPr>
                  <w:r>
                    <w:rPr>
                      <w:rFonts w:hint="eastAsia"/>
                      <w:b/>
                      <w:color w:val="auto"/>
                      <w:szCs w:val="21"/>
                      <w:highlight w:val="none"/>
                    </w:rPr>
                    <w:t>东部已平整的土地</w:t>
                  </w:r>
                </w:p>
              </w:tc>
              <w:tc>
                <w:tcPr>
                  <w:tcW w:w="4845" w:type="dxa"/>
                  <w:vAlign w:val="center"/>
                </w:tcPr>
                <w:p>
                  <w:pPr>
                    <w:spacing w:line="360" w:lineRule="auto"/>
                    <w:ind w:firstLine="422" w:firstLineChars="200"/>
                    <w:jc w:val="center"/>
                    <w:rPr>
                      <w:color w:val="auto"/>
                      <w:sz w:val="24"/>
                      <w:highlight w:val="none"/>
                    </w:rPr>
                  </w:pPr>
                  <w:r>
                    <w:rPr>
                      <w:rFonts w:hint="eastAsia"/>
                      <w:b/>
                      <w:color w:val="auto"/>
                      <w:szCs w:val="21"/>
                      <w:highlight w:val="none"/>
                    </w:rPr>
                    <w:t>保持原始风貌的西部土地</w:t>
                  </w:r>
                </w:p>
              </w:tc>
            </w:tr>
          </w:tbl>
          <w:p>
            <w:pPr>
              <w:snapToGrid w:val="0"/>
              <w:spacing w:afterLines="50" w:line="360" w:lineRule="auto"/>
              <w:jc w:val="center"/>
              <w:rPr>
                <w:b/>
                <w:color w:val="auto"/>
                <w:sz w:val="24"/>
                <w:highlight w:val="none"/>
              </w:rPr>
            </w:pPr>
            <w:r>
              <w:rPr>
                <w:rFonts w:hint="eastAsia"/>
                <w:b/>
                <w:color w:val="auto"/>
                <w:sz w:val="24"/>
                <w:highlight w:val="none"/>
              </w:rPr>
              <w:t>图1-2  项目拟建地现场照片</w:t>
            </w:r>
          </w:p>
          <w:p>
            <w:pPr>
              <w:spacing w:line="360" w:lineRule="auto"/>
              <w:ind w:firstLine="480" w:firstLineChars="200"/>
              <w:rPr>
                <w:color w:val="auto"/>
                <w:sz w:val="24"/>
                <w:highlight w:val="none"/>
              </w:rPr>
            </w:pPr>
            <w:r>
              <w:rPr>
                <w:rFonts w:hint="eastAsia"/>
                <w:color w:val="auto"/>
                <w:sz w:val="24"/>
                <w:highlight w:val="none"/>
              </w:rPr>
              <w:t>根据现场查看结果可知，拟建项目自身无原有环境问题。</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1.3.2 项目周边环境问题</w:t>
            </w:r>
          </w:p>
          <w:p>
            <w:pPr>
              <w:spacing w:line="360" w:lineRule="auto"/>
              <w:ind w:firstLine="480" w:firstLineChars="200"/>
              <w:rPr>
                <w:color w:val="auto"/>
                <w:sz w:val="24"/>
                <w:highlight w:val="none"/>
              </w:rPr>
            </w:pPr>
            <w:r>
              <w:rPr>
                <w:color w:val="auto"/>
                <w:sz w:val="24"/>
                <w:highlight w:val="none"/>
              </w:rPr>
              <w:t>本项目选址</w:t>
            </w:r>
            <w:r>
              <w:rPr>
                <w:rFonts w:hint="eastAsia"/>
                <w:color w:val="auto"/>
                <w:sz w:val="24"/>
                <w:highlight w:val="none"/>
              </w:rPr>
              <w:t>湖南省湘潭经济技术开发区，项目西面隔江南大道与威胜电气、九华国际机械城相邻，南面隔白石西路与雨湖区响水乡政府、杉山社区相望，东面临近大众、吉利汽车4S店，北面临近恒润商用车生产基地预留用地。具体情况见图1-3。</w:t>
            </w:r>
          </w:p>
          <w:p>
            <w:pPr>
              <w:pStyle w:val="7"/>
              <w:ind w:firstLine="0" w:firstLineChars="0"/>
              <w:jc w:val="center"/>
              <w:rPr>
                <w:color w:val="auto"/>
                <w:highlight w:val="none"/>
              </w:rPr>
            </w:pPr>
            <w:r>
              <w:rPr>
                <w:color w:val="auto"/>
                <w:highlight w:val="none"/>
              </w:rPr>
              <w:pict>
                <v:shape id="_x0000_s3703" o:spid="_x0000_s3703" style="position:absolute;left:0pt;margin-left:193.3pt;margin-top:109pt;height:120.85pt;width:125.55pt;z-index:251688960;mso-width-relative:page;mso-height-relative:page;" fillcolor="#FF00FF" filled="t" stroked="t" coordsize="2511,2417" path="m35,527l761,316,1723,2417,2511,2191,1460,0,0,389,35,527xe">
                  <v:path arrowok="t"/>
                  <v:fill on="t" opacity="13107f" focussize="0,0"/>
                  <v:stroke color="#FF00FF"/>
                  <v:imagedata o:title=""/>
                  <o:lock v:ext="edit"/>
                </v:shape>
              </w:pict>
            </w:r>
            <w:r>
              <w:rPr>
                <w:rFonts w:ascii="宋体" w:hAnsi="宋体"/>
                <w:b/>
                <w:bCs/>
                <w:color w:val="auto"/>
                <w:spacing w:val="-8"/>
                <w:sz w:val="28"/>
                <w:szCs w:val="28"/>
                <w:highlight w:val="none"/>
              </w:rPr>
              <w:pict>
                <v:shape id="_x0000_s3705" o:spid="_x0000_s3705" o:spt="202" type="#_x0000_t202" style="position:absolute;left:0pt;margin-left:248.05pt;margin-top:138.45pt;height:38.4pt;width:48.95pt;z-index:251691008;mso-width-relative:margin;mso-height-relative:margin;mso-height-percent:200;" filled="f" stroked="f" coordsize="21600,21600">
                  <v:path/>
                  <v:fill on="f" focussize="0,0"/>
                  <v:stroke on="f" joinstyle="miter"/>
                  <v:imagedata o:title=""/>
                  <o:lock v:ext="edit"/>
                  <v:textbox style="mso-fit-shape-to-text:t;">
                    <w:txbxContent>
                      <w:p>
                        <w:pPr>
                          <w:rPr>
                            <w:b/>
                            <w:color w:val="FF00FF"/>
                          </w:rPr>
                        </w:pPr>
                        <w:r>
                          <w:rPr>
                            <w:rFonts w:hint="eastAsia"/>
                            <w:b/>
                            <w:color w:val="FF00FF"/>
                          </w:rPr>
                          <w:t>一期工</w:t>
                        </w:r>
                      </w:p>
                      <w:p>
                        <w:pPr>
                          <w:rPr>
                            <w:b/>
                            <w:color w:val="FF00FF"/>
                          </w:rPr>
                        </w:pPr>
                        <w:r>
                          <w:rPr>
                            <w:rFonts w:hint="eastAsia"/>
                            <w:b/>
                            <w:color w:val="FF00FF"/>
                          </w:rPr>
                          <w:t>程范围</w:t>
                        </w:r>
                      </w:p>
                    </w:txbxContent>
                  </v:textbox>
                </v:shape>
              </w:pict>
            </w:r>
            <w:r>
              <w:rPr>
                <w:rFonts w:ascii="宋体" w:hAnsi="宋体"/>
                <w:b/>
                <w:bCs/>
                <w:color w:val="auto"/>
                <w:spacing w:val="-8"/>
                <w:sz w:val="28"/>
                <w:szCs w:val="28"/>
                <w:highlight w:val="none"/>
              </w:rPr>
              <w:pict>
                <v:shape id="_x0000_s3683" o:spid="_x0000_s3683" o:spt="202" type="#_x0000_t202" style="position:absolute;left:0pt;margin-left:216.95pt;margin-top:212.45pt;height:22.8pt;width:31.1pt;z-index:251670528;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道</w:t>
                        </w:r>
                      </w:p>
                    </w:txbxContent>
                  </v:textbox>
                </v:shape>
              </w:pict>
            </w:r>
            <w:r>
              <w:rPr>
                <w:rFonts w:ascii="宋体" w:hAnsi="宋体"/>
                <w:b/>
                <w:bCs/>
                <w:color w:val="auto"/>
                <w:spacing w:val="-8"/>
                <w:sz w:val="28"/>
                <w:szCs w:val="28"/>
                <w:highlight w:val="none"/>
              </w:rPr>
              <w:pict>
                <v:shape id="_x0000_s3682" o:spid="_x0000_s3682" o:spt="202" type="#_x0000_t202" style="position:absolute;left:0pt;margin-left:208.85pt;margin-top:189.4pt;height:22.8pt;width:31.1pt;z-index:251669504;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大</w:t>
                        </w:r>
                      </w:p>
                    </w:txbxContent>
                  </v:textbox>
                </v:shape>
              </w:pict>
            </w:r>
            <w:r>
              <w:rPr>
                <w:rFonts w:ascii="宋体" w:hAnsi="宋体"/>
                <w:b/>
                <w:bCs/>
                <w:color w:val="auto"/>
                <w:spacing w:val="-8"/>
                <w:sz w:val="28"/>
                <w:szCs w:val="28"/>
                <w:highlight w:val="none"/>
              </w:rPr>
              <w:pict>
                <v:shape id="_x0000_s3681" o:spid="_x0000_s3681" o:spt="202" type="#_x0000_t202" style="position:absolute;left:0pt;margin-left:192.8pt;margin-top:154.05pt;height:22.8pt;width:31.1pt;z-index:251668480;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南</w:t>
                        </w:r>
                      </w:p>
                    </w:txbxContent>
                  </v:textbox>
                </v:shape>
              </w:pict>
            </w:r>
            <w:r>
              <w:rPr>
                <w:rFonts w:ascii="宋体" w:hAnsi="宋体"/>
                <w:b/>
                <w:bCs/>
                <w:color w:val="auto"/>
                <w:spacing w:val="-8"/>
                <w:sz w:val="28"/>
                <w:szCs w:val="28"/>
                <w:highlight w:val="none"/>
              </w:rPr>
              <w:pict>
                <v:shape id="_x0000_s3677" o:spid="_x0000_s3677" o:spt="202" type="#_x0000_t202" style="position:absolute;left:0pt;margin-left:182.85pt;margin-top:131.25pt;height:22.8pt;width:31.1pt;z-index:251664384;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江</w:t>
                        </w:r>
                      </w:p>
                    </w:txbxContent>
                  </v:textbox>
                </v:shape>
              </w:pict>
            </w:r>
            <w:r>
              <w:rPr>
                <w:rFonts w:ascii="宋体" w:hAnsi="宋体"/>
                <w:b/>
                <w:bCs/>
                <w:color w:val="auto"/>
                <w:spacing w:val="-8"/>
                <w:sz w:val="28"/>
                <w:szCs w:val="28"/>
                <w:highlight w:val="none"/>
              </w:rPr>
              <w:pict>
                <v:shape id="_x0000_s3696" o:spid="_x0000_s3696" style="position:absolute;left:0pt;margin-left:330pt;margin-top:218.55pt;height:36pt;width:46.2pt;z-index:251682816;mso-width-relative:page;mso-height-relative:page;" fillcolor="#FFFF00" filled="t" coordsize="924,720" path="m0,258l123,720,924,462,816,177,720,0,0,258xe">
                  <v:path arrowok="t"/>
                  <v:fill on="t" opacity="19661f" focussize="0,0"/>
                  <v:stroke/>
                  <v:imagedata o:title=""/>
                  <o:lock v:ext="edit"/>
                </v:shape>
              </w:pict>
            </w:r>
            <w:r>
              <w:rPr>
                <w:rFonts w:ascii="宋体" w:hAnsi="宋体"/>
                <w:b/>
                <w:bCs/>
                <w:color w:val="auto"/>
                <w:spacing w:val="-8"/>
                <w:sz w:val="28"/>
                <w:szCs w:val="28"/>
                <w:highlight w:val="none"/>
              </w:rPr>
              <w:pict>
                <v:shape id="_x0000_s3699" o:spid="_x0000_s3699" o:spt="202" type="#_x0000_t202" style="position:absolute;left:0pt;margin-left:325.45pt;margin-top:221.8pt;height:22.8pt;width:76pt;z-index:251685888;mso-width-relative:margin;mso-height-relative:margin;mso-height-percent:200;" filled="f" stroked="f" coordsize="21600,21600">
                  <v:path/>
                  <v:fill on="f" focussize="0,0"/>
                  <v:stroke on="f" joinstyle="miter"/>
                  <v:imagedata o:title=""/>
                  <o:lock v:ext="edit"/>
                  <v:textbox style="mso-fit-shape-to-text:t;">
                    <w:txbxContent>
                      <w:p>
                        <w:pPr>
                          <w:rPr>
                            <w:b/>
                          </w:rPr>
                        </w:pPr>
                        <w:r>
                          <w:rPr>
                            <w:rFonts w:hint="eastAsia"/>
                            <w:b/>
                          </w:rPr>
                          <w:t>响水乡政府</w:t>
                        </w:r>
                      </w:p>
                    </w:txbxContent>
                  </v:textbox>
                </v:shape>
              </w:pict>
            </w:r>
            <w:r>
              <w:rPr>
                <w:rFonts w:ascii="宋体" w:hAnsi="宋体"/>
                <w:b/>
                <w:bCs/>
                <w:color w:val="auto"/>
                <w:spacing w:val="-8"/>
                <w:sz w:val="28"/>
                <w:szCs w:val="28"/>
                <w:highlight w:val="none"/>
              </w:rPr>
              <w:pict>
                <v:shape id="_x0000_s3697" o:spid="_x0000_s3697" style="position:absolute;left:0pt;margin-left:289.35pt;margin-top:244.6pt;height:106.5pt;width:115.15pt;z-index:251683840;mso-width-relative:page;mso-height-relative:page;" fillcolor="#FFFF00" filled="t" coordsize="2303,2130" path="m0,540l0,1247,0,2130,2303,2103,2097,758,1704,0,0,540xe">
                  <v:path arrowok="t"/>
                  <v:fill on="t" opacity="19661f" focussize="0,0"/>
                  <v:stroke/>
                  <v:imagedata o:title=""/>
                  <o:lock v:ext="edit"/>
                </v:shape>
              </w:pict>
            </w:r>
            <w:r>
              <w:rPr>
                <w:rFonts w:ascii="宋体" w:hAnsi="宋体"/>
                <w:b/>
                <w:bCs/>
                <w:color w:val="auto"/>
                <w:spacing w:val="-8"/>
                <w:sz w:val="28"/>
                <w:szCs w:val="28"/>
                <w:highlight w:val="none"/>
              </w:rPr>
              <w:pict>
                <v:shape id="_x0000_s3691" o:spid="_x0000_s3691" style="position:absolute;left:0pt;margin-left:106.65pt;margin-top:197.5pt;height:63.05pt;width:125pt;z-index:251677696;mso-width-relative:page;mso-height-relative:page;" fillcolor="#31849B" filled="t" coordsize="2500,1261" path="m0,204l68,1063,244,1261,2281,1063,2500,817,2281,0,0,204xe">
                  <v:path arrowok="t"/>
                  <v:fill on="t" opacity="19661f" focussize="0,0"/>
                  <v:stroke/>
                  <v:imagedata o:title=""/>
                  <o:lock v:ext="edit"/>
                </v:shape>
              </w:pict>
            </w:r>
            <w:r>
              <w:rPr>
                <w:rFonts w:ascii="宋体" w:hAnsi="宋体"/>
                <w:b/>
                <w:bCs/>
                <w:color w:val="auto"/>
                <w:spacing w:val="-8"/>
                <w:sz w:val="28"/>
                <w:szCs w:val="28"/>
                <w:highlight w:val="none"/>
              </w:rPr>
              <w:pict>
                <v:shape id="_x0000_s3689" o:spid="_x0000_s3689" style="position:absolute;left:0pt;margin-left:102.9pt;margin-top:131.25pt;height:72.3pt;width:114.05pt;z-index:251675648;mso-width-relative:page;mso-height-relative:page;" fillcolor="#31849B" filled="t" coordsize="2281,1446" path="m0,386l41,1446,2281,1174,1659,0,1182,74,0,386xe">
                  <v:path arrowok="t"/>
                  <v:fill on="t" opacity="19661f" focussize="0,0"/>
                  <v:stroke/>
                  <v:imagedata o:title=""/>
                  <o:lock v:ext="edit"/>
                </v:shape>
              </w:pict>
            </w:r>
            <w:r>
              <w:rPr>
                <w:rFonts w:hint="eastAsia" w:ascii="宋体" w:hAnsi="宋体"/>
                <w:b/>
                <w:bCs/>
                <w:color w:val="auto"/>
                <w:spacing w:val="-8"/>
                <w:sz w:val="28"/>
                <w:szCs w:val="28"/>
                <w:highlight w:val="none"/>
              </w:rPr>
              <w:drawing>
                <wp:anchor distT="0" distB="0" distL="114300" distR="114300" simplePos="0" relativeHeight="251687936" behindDoc="0" locked="0" layoutInCell="1" allowOverlap="1">
                  <wp:simplePos x="0" y="0"/>
                  <wp:positionH relativeFrom="column">
                    <wp:posOffset>205105</wp:posOffset>
                  </wp:positionH>
                  <wp:positionV relativeFrom="paragraph">
                    <wp:posOffset>24130</wp:posOffset>
                  </wp:positionV>
                  <wp:extent cx="468630" cy="557530"/>
                  <wp:effectExtent l="38100" t="19050" r="26670" b="13970"/>
                  <wp:wrapNone/>
                  <wp:docPr id="1654" name="图片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图片 1654"/>
                          <pic:cNvPicPr>
                            <a:picLocks noChangeAspect="1" noChangeArrowheads="1"/>
                          </pic:cNvPicPr>
                        </pic:nvPicPr>
                        <pic:blipFill>
                          <a:blip r:embed="rId23"/>
                          <a:srcRect/>
                          <a:stretch>
                            <a:fillRect/>
                          </a:stretch>
                        </pic:blipFill>
                        <pic:spPr>
                          <a:xfrm>
                            <a:off x="0" y="0"/>
                            <a:ext cx="468630" cy="557530"/>
                          </a:xfrm>
                          <a:prstGeom prst="rect">
                            <a:avLst/>
                          </a:prstGeom>
                          <a:noFill/>
                          <a:ln w="9525">
                            <a:solidFill>
                              <a:srgbClr val="000000"/>
                            </a:solidFill>
                            <a:miter lim="800000"/>
                            <a:headEnd/>
                            <a:tailEnd/>
                          </a:ln>
                        </pic:spPr>
                      </pic:pic>
                    </a:graphicData>
                  </a:graphic>
                </wp:anchor>
              </w:drawing>
            </w:r>
            <w:r>
              <w:rPr>
                <w:color w:val="auto"/>
                <w:highlight w:val="none"/>
              </w:rPr>
              <w:pict>
                <v:shape id="_x0000_s3663" o:spid="_x0000_s3663" o:spt="202" type="#_x0000_t202" style="position:absolute;left:0pt;margin-left:42.4pt;margin-top:323.25pt;height:22.8pt;width:40pt;z-index:251662336;mso-width-relative:margin;mso-height-relative:margin;mso-height-percent:200;" filled="f" stroked="f" coordsize="21600,21600">
                  <v:path/>
                  <v:fill on="f" focussize="0,0"/>
                  <v:stroke on="f" joinstyle="miter"/>
                  <v:imagedata o:title=""/>
                  <o:lock v:ext="edit"/>
                  <v:textbox style="mso-fit-shape-to-text:t;">
                    <w:txbxContent>
                      <w:p>
                        <w:pPr>
                          <w:rPr>
                            <w:b/>
                          </w:rPr>
                        </w:pPr>
                        <w:r>
                          <w:rPr>
                            <w:rFonts w:hint="eastAsia"/>
                            <w:b/>
                          </w:rPr>
                          <w:t>200m</w:t>
                        </w:r>
                      </w:p>
                    </w:txbxContent>
                  </v:textbox>
                </v:shape>
              </w:pict>
            </w:r>
            <w:r>
              <w:rPr>
                <w:rFonts w:ascii="宋体" w:hAnsi="宋体"/>
                <w:b/>
                <w:bCs/>
                <w:color w:val="auto"/>
                <w:spacing w:val="-8"/>
                <w:sz w:val="28"/>
                <w:szCs w:val="28"/>
                <w:highlight w:val="none"/>
              </w:rPr>
              <w:pict>
                <v:shape id="_x0000_s3673" o:spid="_x0000_s3673" o:spt="202" type="#_x0000_t202" style="position:absolute;left:0pt;margin-left:216.15pt;margin-top:240.1pt;height:22.8pt;width:36.8pt;z-index:251663360;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白</w:t>
                        </w:r>
                      </w:p>
                    </w:txbxContent>
                  </v:textbox>
                </v:shape>
              </w:pict>
            </w:r>
            <w:r>
              <w:rPr>
                <w:rFonts w:ascii="宋体" w:hAnsi="宋体"/>
                <w:b/>
                <w:bCs/>
                <w:color w:val="auto"/>
                <w:spacing w:val="-8"/>
                <w:sz w:val="28"/>
                <w:szCs w:val="28"/>
                <w:highlight w:val="none"/>
              </w:rPr>
              <w:pict>
                <v:shape id="_x0000_s3680" o:spid="_x0000_s3680" o:spt="202" type="#_x0000_t202" style="position:absolute;left:0pt;margin-left:360.1pt;margin-top:199.55pt;height:22.8pt;width:36.15pt;z-index:251667456;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路</w:t>
                        </w:r>
                      </w:p>
                    </w:txbxContent>
                  </v:textbox>
                </v:shape>
              </w:pict>
            </w:r>
            <w:r>
              <w:rPr>
                <w:rFonts w:ascii="宋体" w:hAnsi="宋体"/>
                <w:b/>
                <w:bCs/>
                <w:color w:val="auto"/>
                <w:spacing w:val="-8"/>
                <w:sz w:val="28"/>
                <w:szCs w:val="28"/>
                <w:highlight w:val="none"/>
              </w:rPr>
              <w:pict>
                <v:shape id="_x0000_s3679" o:spid="_x0000_s3679" o:spt="202" type="#_x0000_t202" style="position:absolute;left:0pt;margin-left:312.85pt;margin-top:213.1pt;height:22.8pt;width:33.8pt;z-index:251666432;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西</w:t>
                        </w:r>
                      </w:p>
                    </w:txbxContent>
                  </v:textbox>
                </v:shape>
              </w:pict>
            </w:r>
            <w:r>
              <w:rPr>
                <w:rFonts w:ascii="宋体" w:hAnsi="宋体"/>
                <w:b/>
                <w:bCs/>
                <w:color w:val="auto"/>
                <w:spacing w:val="-8"/>
                <w:sz w:val="28"/>
                <w:szCs w:val="28"/>
                <w:highlight w:val="none"/>
              </w:rPr>
              <w:pict>
                <v:shape id="_x0000_s3678" o:spid="_x0000_s3678" o:spt="202" type="#_x0000_t202" style="position:absolute;left:0pt;margin-left:274.8pt;margin-top:221.8pt;height:26.9pt;width:44.95pt;z-index:251665408;mso-width-relative:margin;mso-height-relative:margin;" filled="f" stroked="f" coordsize="21600,21600">
                  <v:path/>
                  <v:fill on="f" focussize="0,0"/>
                  <v:stroke on="f" joinstyle="miter"/>
                  <v:imagedata o:title=""/>
                  <o:lock v:ext="edit"/>
                  <v:textbox>
                    <w:txbxContent>
                      <w:p>
                        <w:pPr>
                          <w:ind w:firstLine="105" w:firstLineChars="50"/>
                          <w:rPr>
                            <w:b/>
                            <w:color w:val="FFFFFF"/>
                          </w:rPr>
                        </w:pPr>
                        <w:r>
                          <w:rPr>
                            <w:rFonts w:hint="eastAsia"/>
                            <w:b/>
                            <w:color w:val="FFFFFF"/>
                          </w:rPr>
                          <w:t>石</w:t>
                        </w:r>
                      </w:p>
                    </w:txbxContent>
                  </v:textbox>
                </v:shape>
              </w:pict>
            </w:r>
            <w:r>
              <w:rPr>
                <w:rFonts w:ascii="宋体" w:hAnsi="宋体"/>
                <w:b/>
                <w:bCs/>
                <w:color w:val="auto"/>
                <w:spacing w:val="-8"/>
                <w:sz w:val="28"/>
                <w:szCs w:val="28"/>
                <w:highlight w:val="none"/>
              </w:rPr>
              <w:pict>
                <v:shape id="_x0000_s3693" o:spid="_x0000_s3693" style="position:absolute;left:0pt;margin-left:360.1pt;margin-top:161.6pt;height:33.95pt;width:25.8pt;z-index:251679744;mso-width-relative:page;mso-height-relative:page;" fillcolor="#943634" filled="t" coordsize="516,679" path="m0,176l122,679,516,456,339,0,0,176xe">
                  <v:path arrowok="t"/>
                  <v:fill on="t" opacity="19661f" focussize="0,0"/>
                  <v:stroke/>
                  <v:imagedata o:title=""/>
                  <o:lock v:ext="edit"/>
                </v:shape>
              </w:pict>
            </w:r>
            <w:r>
              <w:rPr>
                <w:rFonts w:ascii="宋体" w:hAnsi="宋体"/>
                <w:b/>
                <w:bCs/>
                <w:color w:val="auto"/>
                <w:spacing w:val="-8"/>
                <w:sz w:val="28"/>
                <w:szCs w:val="28"/>
                <w:highlight w:val="none"/>
              </w:rPr>
              <w:pict>
                <v:shape id="_x0000_s3692" o:spid="_x0000_s3692" o:spt="202" type="#_x0000_t202" style="position:absolute;left:0pt;margin-left:123.7pt;margin-top:217.3pt;height:22.8pt;width:90.15pt;z-index:251678720;mso-width-relative:margin;mso-height-relative:margin;mso-height-percent:200;" filled="f" stroked="f" coordsize="21600,21600">
                  <v:path/>
                  <v:fill on="f" focussize="0,0"/>
                  <v:stroke on="f" joinstyle="miter"/>
                  <v:imagedata o:title=""/>
                  <o:lock v:ext="edit"/>
                  <v:textbox style="mso-fit-shape-to-text:t;">
                    <w:txbxContent>
                      <w:p>
                        <w:pPr>
                          <w:rPr>
                            <w:b/>
                          </w:rPr>
                        </w:pPr>
                        <w:r>
                          <w:rPr>
                            <w:rFonts w:hint="eastAsia"/>
                            <w:b/>
                          </w:rPr>
                          <w:t>九华国际机械城</w:t>
                        </w:r>
                      </w:p>
                    </w:txbxContent>
                  </v:textbox>
                </v:shape>
              </w:pict>
            </w:r>
            <w:r>
              <w:rPr>
                <w:color w:val="auto"/>
                <w:highlight w:val="none"/>
              </w:rPr>
              <w:pict>
                <v:shape id="_x0000_s3704" o:spid="_x0000_s3704" o:spt="62" type="#_x0000_t62" style="position:absolute;left:0pt;margin-left:327.8pt;margin-top:64.5pt;height:46.25pt;width:135.5pt;z-index:251689984;mso-width-relative:page;mso-height-relative:page;" coordsize="21600,21600" adj="-1116,36755">
                  <v:path/>
                  <v:fill focussize="0,0"/>
                  <v:stroke joinstyle="miter"/>
                  <v:imagedata o:title=""/>
                  <o:lock v:ext="edit"/>
                  <v:textbox>
                    <w:txbxContent>
                      <w:p>
                        <w:pPr>
                          <w:rPr>
                            <w:b/>
                          </w:rPr>
                        </w:pPr>
                        <w:r>
                          <w:rPr>
                            <w:rFonts w:hint="eastAsia"/>
                            <w:b/>
                          </w:rPr>
                          <w:t>舍弗勒（湘潭）公司项目整体工程用地红线示意</w:t>
                        </w:r>
                      </w:p>
                    </w:txbxContent>
                  </v:textbox>
                </v:shape>
              </w:pict>
            </w:r>
            <w:r>
              <w:rPr>
                <w:rFonts w:ascii="宋体" w:hAnsi="宋体"/>
                <w:b/>
                <w:bCs/>
                <w:color w:val="auto"/>
                <w:spacing w:val="-8"/>
                <w:sz w:val="28"/>
                <w:szCs w:val="28"/>
                <w:highlight w:val="none"/>
              </w:rPr>
              <w:pict>
                <v:shape id="_x0000_s3698" o:spid="_x0000_s3698" o:spt="202" type="#_x0000_t202" style="position:absolute;left:0pt;margin-left:312.8pt;margin-top:290.65pt;height:22.8pt;width:76pt;z-index:251684864;mso-width-relative:margin;mso-height-relative:margin;mso-height-percent:200;" filled="f" stroked="f" coordsize="21600,21600">
                  <v:path/>
                  <v:fill on="f" focussize="0,0"/>
                  <v:stroke on="f" joinstyle="miter"/>
                  <v:imagedata o:title=""/>
                  <o:lock v:ext="edit"/>
                  <v:textbox style="mso-fit-shape-to-text:t;">
                    <w:txbxContent>
                      <w:p>
                        <w:pPr>
                          <w:rPr>
                            <w:b/>
                          </w:rPr>
                        </w:pPr>
                        <w:r>
                          <w:rPr>
                            <w:rFonts w:hint="eastAsia"/>
                            <w:b/>
                          </w:rPr>
                          <w:t>杉山社区</w:t>
                        </w:r>
                      </w:p>
                    </w:txbxContent>
                  </v:textbox>
                </v:shape>
              </w:pict>
            </w:r>
            <w:r>
              <w:rPr>
                <w:rFonts w:ascii="宋体" w:hAnsi="宋体"/>
                <w:b/>
                <w:bCs/>
                <w:color w:val="auto"/>
                <w:spacing w:val="-8"/>
                <w:sz w:val="28"/>
                <w:szCs w:val="28"/>
                <w:highlight w:val="none"/>
              </w:rPr>
              <w:pict>
                <v:shape id="_x0000_s3695" o:spid="_x0000_s3695" o:spt="202" type="#_x0000_t202" style="position:absolute;left:0pt;margin-left:347.45pt;margin-top:166.55pt;height:22.8pt;width:41.35pt;z-index:251681792;mso-width-relative:margin;mso-height-relative:margin;mso-height-percent:200;" filled="f" stroked="f" coordsize="21600,21600">
                  <v:path/>
                  <v:fill on="f" focussize="0,0"/>
                  <v:stroke on="f" joinstyle="miter"/>
                  <v:imagedata o:title=""/>
                  <o:lock v:ext="edit"/>
                  <v:textbox style="mso-fit-shape-to-text:t;">
                    <w:txbxContent>
                      <w:p>
                        <w:pPr>
                          <w:rPr>
                            <w:b/>
                          </w:rPr>
                        </w:pPr>
                        <w:r>
                          <w:rPr>
                            <w:rFonts w:hint="eastAsia"/>
                            <w:b/>
                          </w:rPr>
                          <w:t>4S店</w:t>
                        </w:r>
                      </w:p>
                    </w:txbxContent>
                  </v:textbox>
                </v:shape>
              </w:pict>
            </w:r>
            <w:r>
              <w:rPr>
                <w:rFonts w:ascii="宋体" w:hAnsi="宋体"/>
                <w:b/>
                <w:bCs/>
                <w:color w:val="auto"/>
                <w:spacing w:val="-8"/>
                <w:sz w:val="28"/>
                <w:szCs w:val="28"/>
                <w:highlight w:val="none"/>
              </w:rPr>
              <w:pict>
                <v:shape id="_x0000_s3694" o:spid="_x0000_s3694" o:spt="202" type="#_x0000_t202" style="position:absolute;left:0pt;margin-left:101.85pt;margin-top:64.5pt;height:22.8pt;width:189.3pt;z-index:251680768;mso-width-relative:margin;mso-height-relative:margin;mso-height-percent:200;" filled="f" stroked="f" coordsize="21600,21600">
                  <v:path/>
                  <v:fill on="f" focussize="0,0"/>
                  <v:stroke on="f" joinstyle="miter"/>
                  <v:imagedata o:title=""/>
                  <o:lock v:ext="edit"/>
                  <v:textbox style="mso-fit-shape-to-text:t;">
                    <w:txbxContent>
                      <w:p>
                        <w:pPr>
                          <w:rPr>
                            <w:b/>
                          </w:rPr>
                        </w:pPr>
                        <w:r>
                          <w:rPr>
                            <w:rFonts w:hint="eastAsia"/>
                            <w:b/>
                          </w:rPr>
                          <w:t>恒润商用车生产基地预留用地</w:t>
                        </w:r>
                      </w:p>
                    </w:txbxContent>
                  </v:textbox>
                </v:shape>
              </w:pict>
            </w:r>
            <w:r>
              <w:rPr>
                <w:rFonts w:ascii="宋体" w:hAnsi="宋体"/>
                <w:b/>
                <w:bCs/>
                <w:color w:val="auto"/>
                <w:spacing w:val="-8"/>
                <w:sz w:val="28"/>
                <w:szCs w:val="28"/>
                <w:highlight w:val="none"/>
              </w:rPr>
              <w:pict>
                <v:shape id="文本框 1335" o:spid="_x0000_s3690" o:spt="202" type="#_x0000_t202" style="position:absolute;left:0pt;margin-left:116.8pt;margin-top:161.6pt;height:22.8pt;width:76pt;z-index:251676672;mso-width-relative:margin;mso-height-relative:margin;mso-height-percent:200;" filled="f" stroked="f" coordsize="21600,21600">
                  <v:path/>
                  <v:fill on="f" focussize="0,0"/>
                  <v:stroke on="f" joinstyle="miter"/>
                  <v:imagedata o:title=""/>
                  <o:lock v:ext="edit"/>
                  <v:textbox style="mso-fit-shape-to-text:t;">
                    <w:txbxContent>
                      <w:p>
                        <w:pPr>
                          <w:rPr>
                            <w:b/>
                          </w:rPr>
                        </w:pPr>
                        <w:r>
                          <w:rPr>
                            <w:rFonts w:hint="eastAsia"/>
                            <w:b/>
                          </w:rPr>
                          <w:t>威胜电气</w:t>
                        </w:r>
                      </w:p>
                    </w:txbxContent>
                  </v:textbox>
                </v:shape>
              </w:pict>
            </w:r>
            <w:r>
              <w:rPr>
                <w:rFonts w:ascii="宋体" w:hAnsi="宋体"/>
                <w:b/>
                <w:bCs/>
                <w:color w:val="auto"/>
                <w:spacing w:val="-8"/>
                <w:sz w:val="28"/>
                <w:szCs w:val="28"/>
                <w:highlight w:val="none"/>
              </w:rPr>
              <w:pict>
                <v:shape id="_x0000_s3687" o:spid="_x0000_s3687" o:spt="202" type="#_x0000_t202" style="position:absolute;left:0pt;margin-left:252.85pt;margin-top:87.3pt;height:22.8pt;width:31.1pt;z-index:251674624;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路</w:t>
                        </w:r>
                      </w:p>
                    </w:txbxContent>
                  </v:textbox>
                </v:shape>
              </w:pict>
            </w:r>
            <w:r>
              <w:rPr>
                <w:rFonts w:ascii="宋体" w:hAnsi="宋体"/>
                <w:b/>
                <w:bCs/>
                <w:color w:val="auto"/>
                <w:spacing w:val="-8"/>
                <w:sz w:val="28"/>
                <w:szCs w:val="28"/>
                <w:highlight w:val="none"/>
              </w:rPr>
              <w:pict>
                <v:shape id="_x0000_s3686" o:spid="_x0000_s3686" o:spt="202" type="#_x0000_t202" style="position:absolute;left:0pt;margin-left:221.75pt;margin-top:97.15pt;height:22.8pt;width:31.1pt;z-index:251673600;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西</w:t>
                        </w:r>
                      </w:p>
                    </w:txbxContent>
                  </v:textbox>
                </v:shape>
              </w:pict>
            </w:r>
            <w:r>
              <w:rPr>
                <w:rFonts w:ascii="宋体" w:hAnsi="宋体"/>
                <w:b/>
                <w:bCs/>
                <w:color w:val="auto"/>
                <w:spacing w:val="-8"/>
                <w:sz w:val="28"/>
                <w:szCs w:val="28"/>
                <w:highlight w:val="none"/>
              </w:rPr>
              <w:pict>
                <v:shape id="_x0000_s3684" o:spid="_x0000_s3684" o:spt="202" type="#_x0000_t202" style="position:absolute;left:0pt;margin-left:177.75pt;margin-top:110.65pt;height:22.8pt;width:31.1pt;z-index:251671552;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九</w:t>
                        </w:r>
                      </w:p>
                    </w:txbxContent>
                  </v:textbox>
                </v:shape>
              </w:pict>
            </w:r>
            <w:r>
              <w:rPr>
                <w:rFonts w:ascii="宋体" w:hAnsi="宋体"/>
                <w:b/>
                <w:bCs/>
                <w:color w:val="auto"/>
                <w:spacing w:val="-8"/>
                <w:sz w:val="28"/>
                <w:szCs w:val="28"/>
                <w:highlight w:val="none"/>
              </w:rPr>
              <w:pict>
                <v:shape id="_x0000_s3685" o:spid="_x0000_s3685" o:spt="202" type="#_x0000_t202" style="position:absolute;left:0pt;margin-left:197.7pt;margin-top:105.9pt;height:22.8pt;width:31.1pt;z-index:251672576;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昭</w:t>
                        </w:r>
                      </w:p>
                    </w:txbxContent>
                  </v:textbox>
                </v:shape>
              </w:pict>
            </w:r>
            <w:r>
              <w:rPr>
                <w:rFonts w:hint="eastAsia"/>
                <w:color w:val="auto"/>
                <w:highlight w:val="none"/>
              </w:rPr>
              <w:drawing>
                <wp:inline distT="0" distB="0" distL="0" distR="0">
                  <wp:extent cx="5972175" cy="4505325"/>
                  <wp:effectExtent l="19050" t="19050" r="28575" b="285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srcRect/>
                          <a:stretch>
                            <a:fillRect/>
                          </a:stretch>
                        </pic:blipFill>
                        <pic:spPr>
                          <a:xfrm>
                            <a:off x="0" y="0"/>
                            <a:ext cx="5972175" cy="4505325"/>
                          </a:xfrm>
                          <a:prstGeom prst="rect">
                            <a:avLst/>
                          </a:prstGeom>
                          <a:noFill/>
                          <a:ln w="19050" cmpd="sng">
                            <a:solidFill>
                              <a:srgbClr val="000000"/>
                            </a:solidFill>
                            <a:miter lim="800000"/>
                            <a:headEnd/>
                            <a:tailEnd/>
                          </a:ln>
                          <a:effectLst/>
                        </pic:spPr>
                      </pic:pic>
                    </a:graphicData>
                  </a:graphic>
                </wp:inline>
              </w:drawing>
            </w:r>
          </w:p>
          <w:p>
            <w:pPr>
              <w:snapToGrid w:val="0"/>
              <w:spacing w:afterLines="50" w:line="360" w:lineRule="auto"/>
              <w:jc w:val="center"/>
              <w:rPr>
                <w:b/>
                <w:color w:val="auto"/>
                <w:sz w:val="24"/>
                <w:highlight w:val="none"/>
              </w:rPr>
            </w:pPr>
            <w:r>
              <w:rPr>
                <w:rFonts w:hint="eastAsia"/>
                <w:b/>
                <w:color w:val="auto"/>
                <w:sz w:val="24"/>
                <w:highlight w:val="none"/>
              </w:rPr>
              <w:t>图1-3  拟建项目四至示意图</w:t>
            </w:r>
          </w:p>
          <w:p>
            <w:pPr>
              <w:spacing w:line="360" w:lineRule="auto"/>
              <w:ind w:firstLine="480" w:firstLineChars="200"/>
              <w:rPr>
                <w:color w:val="auto"/>
                <w:sz w:val="24"/>
                <w:highlight w:val="none"/>
              </w:rPr>
            </w:pPr>
            <w:r>
              <w:rPr>
                <w:rFonts w:hint="eastAsia"/>
                <w:color w:val="auto"/>
                <w:sz w:val="24"/>
                <w:highlight w:val="none"/>
              </w:rPr>
              <w:t>根据项目四至情况可知，项目周边主要环境问题如下：</w:t>
            </w:r>
          </w:p>
          <w:p>
            <w:pPr>
              <w:spacing w:line="360" w:lineRule="auto"/>
              <w:ind w:firstLine="480" w:firstLineChars="200"/>
              <w:rPr>
                <w:color w:val="auto"/>
                <w:sz w:val="24"/>
                <w:highlight w:val="none"/>
              </w:rPr>
            </w:pPr>
            <w:r>
              <w:rPr>
                <w:rFonts w:hint="eastAsia"/>
                <w:color w:val="auto"/>
                <w:sz w:val="24"/>
                <w:highlight w:val="none"/>
              </w:rPr>
              <w:t>（1）湖南省湘潭经济技术开发区内企业如威胜电气、九华国际机械城、4S店等生产或运营产生的废气、废水、噪声、固体废弃物。</w:t>
            </w:r>
          </w:p>
          <w:p>
            <w:pPr>
              <w:spacing w:line="360" w:lineRule="auto"/>
              <w:ind w:firstLine="480" w:firstLineChars="200"/>
              <w:rPr>
                <w:color w:val="auto"/>
                <w:sz w:val="24"/>
                <w:highlight w:val="none"/>
              </w:rPr>
            </w:pPr>
            <w:r>
              <w:rPr>
                <w:rFonts w:hint="eastAsia"/>
                <w:color w:val="auto"/>
                <w:sz w:val="24"/>
                <w:highlight w:val="none"/>
              </w:rPr>
              <w:t>（2）项目南面雨湖区政府、杉山社区产生的生活污水、生活垃圾以及食堂油烟废气。</w:t>
            </w:r>
          </w:p>
          <w:p>
            <w:pPr>
              <w:spacing w:line="360" w:lineRule="auto"/>
              <w:ind w:firstLine="480" w:firstLineChars="200"/>
              <w:rPr>
                <w:bCs/>
                <w:color w:val="auto"/>
                <w:sz w:val="24"/>
                <w:highlight w:val="none"/>
              </w:rPr>
            </w:pPr>
            <w:r>
              <w:rPr>
                <w:rFonts w:hint="eastAsia"/>
                <w:color w:val="auto"/>
                <w:sz w:val="24"/>
                <w:highlight w:val="none"/>
              </w:rPr>
              <w:t>（3）江南大道、白石西路等产生的交通噪声、扬尘及汽车尾气。</w:t>
            </w: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p>
            <w:pPr>
              <w:spacing w:line="360" w:lineRule="auto"/>
              <w:ind w:firstLine="480"/>
              <w:rPr>
                <w:bCs/>
                <w:color w:val="auto"/>
                <w:sz w:val="24"/>
                <w:highlight w:val="none"/>
              </w:rPr>
            </w:pPr>
          </w:p>
        </w:tc>
      </w:tr>
    </w:tbl>
    <w:p>
      <w:pPr>
        <w:tabs>
          <w:tab w:val="left" w:pos="3828"/>
        </w:tabs>
        <w:spacing w:line="460" w:lineRule="exact"/>
        <w:outlineLvl w:val="0"/>
        <w:rPr>
          <w:rFonts w:ascii="黑体" w:hAnsi="黑体" w:eastAsia="黑体"/>
          <w:b/>
          <w:spacing w:val="6"/>
          <w:sz w:val="30"/>
          <w:szCs w:val="30"/>
        </w:rPr>
      </w:pPr>
      <w:r>
        <w:rPr>
          <w:rFonts w:hint="eastAsia" w:ascii="黑体" w:hAnsi="黑体" w:eastAsia="黑体"/>
          <w:b/>
          <w:spacing w:val="6"/>
          <w:sz w:val="30"/>
          <w:szCs w:val="30"/>
        </w:rPr>
        <w:t>二、</w:t>
      </w:r>
      <w:r>
        <w:rPr>
          <w:rFonts w:ascii="黑体" w:hAnsi="黑体" w:eastAsia="黑体"/>
          <w:b/>
          <w:spacing w:val="6"/>
          <w:sz w:val="30"/>
          <w:szCs w:val="30"/>
        </w:rPr>
        <w:t>建设项目所在地自然环境、社会环境简况</w:t>
      </w:r>
    </w:p>
    <w:tbl>
      <w:tblPr>
        <w:tblStyle w:val="29"/>
        <w:tblW w:w="9356"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1" w:hRule="atLeast"/>
        </w:trPr>
        <w:tc>
          <w:tcPr>
            <w:tcW w:w="9356" w:type="dxa"/>
          </w:tcPr>
          <w:p>
            <w:pPr>
              <w:spacing w:afterLines="50" w:line="460" w:lineRule="exact"/>
              <w:jc w:val="left"/>
              <w:rPr>
                <w:rFonts w:ascii="宋体" w:hAnsi="宋体"/>
                <w:b/>
                <w:bCs/>
                <w:spacing w:val="-8"/>
                <w:sz w:val="28"/>
                <w:szCs w:val="28"/>
              </w:rPr>
            </w:pPr>
            <w:r>
              <w:rPr>
                <w:rFonts w:hint="eastAsia" w:ascii="宋体" w:hAnsi="宋体"/>
                <w:b/>
                <w:bCs/>
                <w:spacing w:val="-8"/>
                <w:sz w:val="28"/>
                <w:szCs w:val="28"/>
              </w:rPr>
              <w:t xml:space="preserve">2.1 </w:t>
            </w:r>
            <w:r>
              <w:rPr>
                <w:rFonts w:ascii="宋体" w:hAnsi="宋体"/>
                <w:b/>
                <w:bCs/>
                <w:spacing w:val="-8"/>
                <w:sz w:val="28"/>
                <w:szCs w:val="28"/>
              </w:rPr>
              <w:t>自然环境简况（地形、地貌、地质、气候、气象、水文、植被、生物多样性等）：</w:t>
            </w:r>
          </w:p>
          <w:p>
            <w:pPr>
              <w:pStyle w:val="9"/>
              <w:spacing w:line="440" w:lineRule="exact"/>
              <w:ind w:firstLine="0" w:firstLineChars="0"/>
              <w:jc w:val="left"/>
              <w:rPr>
                <w:b/>
                <w:spacing w:val="4"/>
                <w:sz w:val="24"/>
                <w:szCs w:val="24"/>
              </w:rPr>
            </w:pPr>
            <w:r>
              <w:rPr>
                <w:rFonts w:hint="eastAsia"/>
                <w:b/>
                <w:spacing w:val="4"/>
                <w:sz w:val="24"/>
                <w:szCs w:val="24"/>
              </w:rPr>
              <w:t>2.1.</w:t>
            </w:r>
            <w:r>
              <w:rPr>
                <w:b/>
                <w:spacing w:val="4"/>
                <w:sz w:val="24"/>
                <w:szCs w:val="24"/>
              </w:rPr>
              <w:t>1</w:t>
            </w:r>
            <w:r>
              <w:rPr>
                <w:rFonts w:hint="eastAsia"/>
                <w:b/>
                <w:spacing w:val="4"/>
                <w:sz w:val="24"/>
                <w:szCs w:val="24"/>
              </w:rPr>
              <w:t xml:space="preserve"> </w:t>
            </w:r>
            <w:r>
              <w:rPr>
                <w:b/>
                <w:spacing w:val="4"/>
                <w:sz w:val="24"/>
                <w:szCs w:val="24"/>
              </w:rPr>
              <w:t>地理位置</w:t>
            </w:r>
          </w:p>
          <w:p>
            <w:pPr>
              <w:spacing w:line="360" w:lineRule="auto"/>
              <w:ind w:firstLine="480" w:firstLineChars="200"/>
              <w:rPr>
                <w:sz w:val="24"/>
              </w:rPr>
            </w:pPr>
            <w:r>
              <w:rPr>
                <w:sz w:val="24"/>
              </w:rPr>
              <w:t>本项目选址</w:t>
            </w:r>
            <w:r>
              <w:rPr>
                <w:rFonts w:hint="eastAsia"/>
                <w:sz w:val="24"/>
              </w:rPr>
              <w:t>湖南省湘潭经济技术开发区湘望路以西，江南大道以东，白石西路以北。</w:t>
            </w:r>
            <w:r>
              <w:rPr>
                <w:sz w:val="24"/>
              </w:rPr>
              <w:t>具体位置详见附图1。</w:t>
            </w:r>
          </w:p>
          <w:p>
            <w:pPr>
              <w:pStyle w:val="9"/>
              <w:spacing w:line="440" w:lineRule="exact"/>
              <w:ind w:firstLine="0" w:firstLineChars="0"/>
              <w:jc w:val="left"/>
              <w:rPr>
                <w:b/>
                <w:spacing w:val="4"/>
                <w:sz w:val="24"/>
                <w:szCs w:val="24"/>
              </w:rPr>
            </w:pPr>
            <w:r>
              <w:rPr>
                <w:rFonts w:hint="eastAsia"/>
                <w:b/>
                <w:spacing w:val="4"/>
                <w:sz w:val="24"/>
                <w:szCs w:val="24"/>
              </w:rPr>
              <w:t>2.1.</w:t>
            </w:r>
            <w:r>
              <w:rPr>
                <w:b/>
                <w:spacing w:val="4"/>
                <w:sz w:val="24"/>
                <w:szCs w:val="24"/>
              </w:rPr>
              <w:t>2</w:t>
            </w:r>
            <w:r>
              <w:rPr>
                <w:rFonts w:hint="eastAsia"/>
                <w:b/>
                <w:spacing w:val="4"/>
                <w:sz w:val="24"/>
                <w:szCs w:val="24"/>
              </w:rPr>
              <w:t xml:space="preserve"> </w:t>
            </w:r>
            <w:r>
              <w:rPr>
                <w:b/>
                <w:spacing w:val="4"/>
                <w:sz w:val="24"/>
                <w:szCs w:val="24"/>
              </w:rPr>
              <w:t>地形、地貌</w:t>
            </w:r>
          </w:p>
          <w:p>
            <w:pPr>
              <w:spacing w:line="360" w:lineRule="auto"/>
              <w:ind w:firstLine="480" w:firstLineChars="200"/>
              <w:rPr>
                <w:sz w:val="24"/>
              </w:rPr>
            </w:pPr>
            <w:r>
              <w:rPr>
                <w:rFonts w:hint="eastAsia"/>
                <w:sz w:val="24"/>
              </w:rPr>
              <w:t>项目所在区域属于构造剥蚀岗地地貌，总的地貌轮廓是北高南低，地貌类型多样，山地、丘陵、岗地、水面具备，在全部土地总面积中以丘陵地为主，约占50%。</w:t>
            </w:r>
          </w:p>
          <w:p>
            <w:pPr>
              <w:spacing w:line="360" w:lineRule="auto"/>
              <w:ind w:firstLine="480" w:firstLineChars="200"/>
              <w:rPr>
                <w:sz w:val="24"/>
              </w:rPr>
            </w:pPr>
            <w:r>
              <w:rPr>
                <w:rFonts w:hint="eastAsia"/>
                <w:sz w:val="24"/>
              </w:rPr>
              <w:t>项目所在区域位于华南加里东～印支褶带边缘，白马伏～梅林桥褶皱带中部，长塘向斜的左翼，向斜轴向NE25-30°，SE翼展布地层有泥盆系易家湾组（DYY）炭质页岩、页岩、泥灰岩和泥盆系跳马漳组（D12），紫红色石英砂岩及灰白色石英砂岩夹石英砾岩，其下与元古界板溪群沙坪组（Pt）板岩、砂质板岩及轻变质砂岩成角不整合接触。本区褶皱、断裂构造均发育，主要有早期雪峰山运动形成的NW向构造和后期印支运动形成的NNE向构造。</w:t>
            </w:r>
          </w:p>
          <w:p>
            <w:pPr>
              <w:spacing w:line="360" w:lineRule="auto"/>
              <w:ind w:firstLine="480" w:firstLineChars="200"/>
              <w:rPr>
                <w:sz w:val="24"/>
              </w:rPr>
            </w:pPr>
            <w:r>
              <w:rPr>
                <w:rFonts w:hint="eastAsia"/>
                <w:sz w:val="24"/>
              </w:rPr>
              <w:t>区域中部大部分地段属河谷侵蚀堆积地貌，已“丘岗化”，评估区出露地层大部分为第四纪白沙井组，第四系之下为白垩纪罗镜滩组和戴家坪组。</w:t>
            </w:r>
          </w:p>
          <w:p>
            <w:pPr>
              <w:spacing w:line="360" w:lineRule="auto"/>
              <w:ind w:firstLine="480" w:firstLineChars="200"/>
              <w:rPr>
                <w:sz w:val="24"/>
              </w:rPr>
            </w:pPr>
            <w:r>
              <w:rPr>
                <w:rFonts w:hint="eastAsia"/>
                <w:sz w:val="24"/>
              </w:rPr>
              <w:t>根据国家地震局《中国地震动参数区划图》（GB18306-2001），区内地震动峰值加速度小于</w:t>
            </w:r>
            <w:r>
              <w:rPr>
                <w:sz w:val="24"/>
              </w:rPr>
              <w:t>0.05g</w:t>
            </w:r>
            <w:r>
              <w:rPr>
                <w:rFonts w:hint="eastAsia"/>
                <w:sz w:val="24"/>
              </w:rPr>
              <w:t>。评估区地震烈度相当于</w:t>
            </w:r>
            <w:r>
              <w:rPr>
                <w:sz w:val="24"/>
              </w:rPr>
              <w:t>Ⅵ</w:t>
            </w:r>
            <w:r>
              <w:rPr>
                <w:rFonts w:hint="eastAsia"/>
                <w:sz w:val="24"/>
              </w:rPr>
              <w:t>度（小于</w:t>
            </w:r>
            <w:r>
              <w:rPr>
                <w:sz w:val="24"/>
              </w:rPr>
              <w:t>Ⅵ</w:t>
            </w:r>
            <w:r>
              <w:rPr>
                <w:rFonts w:hint="eastAsia"/>
                <w:sz w:val="24"/>
              </w:rPr>
              <w:t>度），地震动对建设区危害性不大。</w:t>
            </w:r>
          </w:p>
          <w:p>
            <w:pPr>
              <w:pStyle w:val="9"/>
              <w:spacing w:line="440" w:lineRule="exact"/>
              <w:ind w:firstLine="0" w:firstLineChars="0"/>
              <w:jc w:val="left"/>
              <w:rPr>
                <w:b/>
                <w:spacing w:val="4"/>
                <w:sz w:val="24"/>
                <w:szCs w:val="24"/>
              </w:rPr>
            </w:pPr>
            <w:r>
              <w:rPr>
                <w:rFonts w:hint="eastAsia"/>
                <w:b/>
                <w:spacing w:val="4"/>
                <w:sz w:val="24"/>
                <w:szCs w:val="24"/>
              </w:rPr>
              <w:t>2.1.3 水文</w:t>
            </w:r>
          </w:p>
          <w:p>
            <w:pPr>
              <w:spacing w:line="360" w:lineRule="auto"/>
              <w:ind w:firstLine="480" w:firstLineChars="200"/>
              <w:rPr>
                <w:sz w:val="24"/>
              </w:rPr>
            </w:pPr>
            <w:r>
              <w:rPr>
                <w:rFonts w:hint="eastAsia"/>
                <w:sz w:val="24"/>
              </w:rPr>
              <w:t>（1）地表水</w:t>
            </w:r>
          </w:p>
          <w:p>
            <w:pPr>
              <w:spacing w:line="360" w:lineRule="auto"/>
              <w:ind w:firstLine="480" w:firstLineChars="200"/>
              <w:rPr>
                <w:sz w:val="24"/>
              </w:rPr>
            </w:pPr>
            <w:r>
              <w:rPr>
                <w:rFonts w:hint="eastAsia"/>
                <w:sz w:val="24"/>
              </w:rPr>
              <w:t>项目涉及地表水体主要为湘江。</w:t>
            </w:r>
          </w:p>
          <w:p>
            <w:pPr>
              <w:spacing w:line="360" w:lineRule="auto"/>
              <w:ind w:firstLine="480" w:firstLineChars="200"/>
              <w:rPr>
                <w:sz w:val="24"/>
              </w:rPr>
            </w:pPr>
            <w:r>
              <w:rPr>
                <w:sz w:val="24"/>
              </w:rPr>
              <w:t>湘江发源于广西省临桂县海洋坪龙门界，经金沙入湖南省东安县，流经零陵、衡阳、株洲、湘潭、长沙，然后进入洞庭湖，于岳阳城陵矶入长江，全长856km、流域面积94660km</w:t>
            </w:r>
            <w:r>
              <w:rPr>
                <w:sz w:val="24"/>
                <w:vertAlign w:val="superscript"/>
              </w:rPr>
              <w:t>2</w:t>
            </w:r>
            <w:r>
              <w:rPr>
                <w:sz w:val="24"/>
              </w:rPr>
              <w:t>，其中湖南境内长670km，流域面积85383km</w:t>
            </w:r>
            <w:r>
              <w:rPr>
                <w:sz w:val="24"/>
                <w:vertAlign w:val="superscript"/>
              </w:rPr>
              <w:t>2</w:t>
            </w:r>
            <w:r>
              <w:rPr>
                <w:sz w:val="24"/>
              </w:rPr>
              <w:t>，是洞庭湖水系中最大的河流，也是长江七大支流之一。</w:t>
            </w:r>
          </w:p>
          <w:p>
            <w:pPr>
              <w:spacing w:line="360" w:lineRule="auto"/>
              <w:ind w:firstLine="480" w:firstLineChars="200"/>
              <w:rPr>
                <w:sz w:val="24"/>
              </w:rPr>
            </w:pPr>
            <w:r>
              <w:rPr>
                <w:rFonts w:hint="eastAsia"/>
                <w:sz w:val="24"/>
              </w:rPr>
              <w:t>湘江湘潭段从马家河起，至易家湾全长约42km，河流宽度400-800m。湘江多年平均流量2126m</w:t>
            </w:r>
            <w:r>
              <w:rPr>
                <w:rFonts w:hint="eastAsia"/>
                <w:sz w:val="24"/>
                <w:vertAlign w:val="superscript"/>
              </w:rPr>
              <w:t>3</w:t>
            </w:r>
            <w:r>
              <w:rPr>
                <w:rFonts w:hint="eastAsia"/>
                <w:sz w:val="24"/>
              </w:rPr>
              <w:t>/s，最大洪峰流量21100m</w:t>
            </w:r>
            <w:r>
              <w:rPr>
                <w:rFonts w:hint="eastAsia"/>
                <w:sz w:val="24"/>
                <w:vertAlign w:val="superscript"/>
              </w:rPr>
              <w:t>3</w:t>
            </w:r>
            <w:r>
              <w:rPr>
                <w:rFonts w:hint="eastAsia"/>
                <w:sz w:val="24"/>
              </w:rPr>
              <w:t>/s（1994年6月18日），最小流量100m</w:t>
            </w:r>
            <w:r>
              <w:rPr>
                <w:rFonts w:hint="eastAsia"/>
                <w:sz w:val="24"/>
                <w:vertAlign w:val="superscript"/>
              </w:rPr>
              <w:t>3</w:t>
            </w:r>
            <w:r>
              <w:rPr>
                <w:rFonts w:hint="eastAsia"/>
                <w:sz w:val="24"/>
              </w:rPr>
              <w:t>/s（1994年10月6日），多年平均水位28.304m（黄海高程），湘江湘潭站最高洪峰水位41.95m，最低水位26.30m（2011年8月30日）。丰水期为4月~7月，枯水期从12月~翌年2月，河床地质为泥沙间有卵石，比降为0.045‰。</w:t>
            </w:r>
          </w:p>
          <w:p>
            <w:pPr>
              <w:spacing w:line="360" w:lineRule="auto"/>
              <w:ind w:firstLine="480" w:firstLineChars="200"/>
              <w:rPr>
                <w:sz w:val="24"/>
              </w:rPr>
            </w:pPr>
            <w:r>
              <w:rPr>
                <w:rFonts w:hint="eastAsia"/>
                <w:sz w:val="24"/>
              </w:rPr>
              <w:t>（</w:t>
            </w:r>
            <w:r>
              <w:rPr>
                <w:sz w:val="24"/>
              </w:rPr>
              <w:t>2</w:t>
            </w:r>
            <w:r>
              <w:rPr>
                <w:rFonts w:hint="eastAsia"/>
                <w:sz w:val="24"/>
              </w:rPr>
              <w:t>）地下水</w:t>
            </w:r>
          </w:p>
          <w:p>
            <w:pPr>
              <w:spacing w:line="360" w:lineRule="auto"/>
              <w:ind w:firstLine="480" w:firstLineChars="200"/>
              <w:rPr>
                <w:sz w:val="24"/>
              </w:rPr>
            </w:pPr>
            <w:r>
              <w:rPr>
                <w:rFonts w:hint="eastAsia"/>
                <w:sz w:val="24"/>
              </w:rPr>
              <w:t>区域内水文地质条件简单，地下水类型主要为松散岩类孔隙水、红层裂隙水。</w:t>
            </w:r>
          </w:p>
          <w:p>
            <w:pPr>
              <w:pStyle w:val="9"/>
              <w:spacing w:line="440" w:lineRule="exact"/>
              <w:ind w:firstLine="0" w:firstLineChars="0"/>
              <w:jc w:val="left"/>
              <w:rPr>
                <w:b/>
                <w:spacing w:val="4"/>
                <w:sz w:val="24"/>
                <w:szCs w:val="24"/>
              </w:rPr>
            </w:pPr>
            <w:r>
              <w:rPr>
                <w:rFonts w:hint="eastAsia"/>
                <w:b/>
                <w:spacing w:val="4"/>
                <w:sz w:val="24"/>
                <w:szCs w:val="24"/>
              </w:rPr>
              <w:t>2.1.4 气象、气候</w:t>
            </w:r>
          </w:p>
          <w:p>
            <w:pPr>
              <w:spacing w:line="360" w:lineRule="auto"/>
              <w:ind w:firstLine="480" w:firstLineChars="200"/>
              <w:rPr>
                <w:sz w:val="24"/>
              </w:rPr>
            </w:pPr>
            <w:r>
              <w:rPr>
                <w:rFonts w:hint="eastAsia"/>
                <w:sz w:val="24"/>
              </w:rPr>
              <w:t>湘潭市气候属于亚热带季风湿润气候区，四季分明，冬冷夏热，春夏多雨，秋冬干旱。年平均气温17.5℃，最高气温42.2℃，最低气温-8.5℃。年平均日照1262.9小时。年平均相对湿度81%。年降水量1200-1450mm，年平均蒸发量1359.1mm。多年平均风速2.4m/s。常年主导风向NNW，夏季盛行偏南风。全年无霜期345天，年平均日照时数1262.9h。</w:t>
            </w:r>
          </w:p>
          <w:p>
            <w:pPr>
              <w:pStyle w:val="9"/>
              <w:spacing w:line="440" w:lineRule="exact"/>
              <w:ind w:firstLine="0" w:firstLineChars="0"/>
              <w:jc w:val="left"/>
              <w:rPr>
                <w:b/>
                <w:spacing w:val="4"/>
                <w:sz w:val="24"/>
                <w:szCs w:val="24"/>
              </w:rPr>
            </w:pPr>
            <w:r>
              <w:rPr>
                <w:rFonts w:hint="eastAsia"/>
                <w:b/>
                <w:spacing w:val="4"/>
                <w:sz w:val="24"/>
                <w:szCs w:val="24"/>
              </w:rPr>
              <w:t>2.1.</w:t>
            </w:r>
            <w:r>
              <w:rPr>
                <w:b/>
                <w:spacing w:val="4"/>
                <w:sz w:val="24"/>
                <w:szCs w:val="24"/>
              </w:rPr>
              <w:t>5</w:t>
            </w:r>
            <w:r>
              <w:rPr>
                <w:rFonts w:hint="eastAsia"/>
                <w:b/>
                <w:spacing w:val="4"/>
                <w:sz w:val="24"/>
                <w:szCs w:val="24"/>
              </w:rPr>
              <w:t xml:space="preserve"> </w:t>
            </w:r>
            <w:r>
              <w:rPr>
                <w:b/>
                <w:spacing w:val="4"/>
                <w:sz w:val="24"/>
                <w:szCs w:val="24"/>
              </w:rPr>
              <w:t>生态</w:t>
            </w:r>
          </w:p>
          <w:p>
            <w:pPr>
              <w:spacing w:line="360" w:lineRule="auto"/>
              <w:ind w:firstLine="480" w:firstLineChars="200"/>
              <w:rPr>
                <w:sz w:val="24"/>
              </w:rPr>
            </w:pPr>
            <w:r>
              <w:rPr>
                <w:rFonts w:hint="eastAsia"/>
                <w:sz w:val="24"/>
              </w:rPr>
              <w:t>本项目所在区域生态以城郊</w:t>
            </w:r>
            <w:r>
              <w:rPr>
                <w:sz w:val="24"/>
              </w:rPr>
              <w:t>生态环境</w:t>
            </w:r>
            <w:r>
              <w:rPr>
                <w:rFonts w:hint="eastAsia"/>
                <w:sz w:val="24"/>
              </w:rPr>
              <w:t>为主</w:t>
            </w:r>
            <w:r>
              <w:rPr>
                <w:sz w:val="24"/>
              </w:rPr>
              <w:t>，土地利用率</w:t>
            </w:r>
            <w:r>
              <w:rPr>
                <w:rFonts w:hint="eastAsia"/>
                <w:sz w:val="24"/>
              </w:rPr>
              <w:t>较</w:t>
            </w:r>
            <w:r>
              <w:rPr>
                <w:sz w:val="24"/>
              </w:rPr>
              <w:t>高，植被覆盖率</w:t>
            </w:r>
            <w:r>
              <w:rPr>
                <w:rFonts w:hint="eastAsia"/>
                <w:sz w:val="24"/>
              </w:rPr>
              <w:t>一般</w:t>
            </w:r>
            <w:r>
              <w:rPr>
                <w:sz w:val="24"/>
              </w:rPr>
              <w:t>，主要</w:t>
            </w:r>
            <w:r>
              <w:rPr>
                <w:rFonts w:hint="eastAsia"/>
                <w:sz w:val="24"/>
              </w:rPr>
              <w:t>植被</w:t>
            </w:r>
            <w:r>
              <w:rPr>
                <w:sz w:val="24"/>
              </w:rPr>
              <w:t>为城市道路两侧绿化的观赏树木</w:t>
            </w:r>
            <w:r>
              <w:rPr>
                <w:rFonts w:hint="eastAsia"/>
                <w:sz w:val="24"/>
              </w:rPr>
              <w:t>，以及居民种植的蔬菜、树木等。</w:t>
            </w:r>
            <w:r>
              <w:rPr>
                <w:sz w:val="24"/>
              </w:rPr>
              <w:t>区域内野生动物较少，主要为田鼠、蛇、蛙、斑鸠、喜鹊、麻雀等鸟类，无珍稀濒危动物种类。</w:t>
            </w:r>
          </w:p>
          <w:p>
            <w:pPr>
              <w:spacing w:line="360" w:lineRule="auto"/>
              <w:ind w:firstLine="480" w:firstLineChars="200"/>
              <w:rPr>
                <w:sz w:val="24"/>
              </w:rPr>
            </w:pPr>
            <w:r>
              <w:rPr>
                <w:sz w:val="24"/>
              </w:rPr>
              <w:t>经调查，评价范围内无自然保护区、风景名胜区，未发现名木古树、珍稀濒危动植物物种和其它需要特殊保护的树种。</w:t>
            </w:r>
          </w:p>
          <w:p>
            <w:pPr>
              <w:spacing w:afterLines="50" w:line="460" w:lineRule="exact"/>
              <w:jc w:val="left"/>
              <w:rPr>
                <w:rFonts w:ascii="宋体" w:hAnsi="宋体"/>
                <w:b/>
                <w:bCs/>
                <w:spacing w:val="-8"/>
                <w:sz w:val="28"/>
                <w:szCs w:val="28"/>
              </w:rPr>
            </w:pPr>
            <w:r>
              <w:rPr>
                <w:rFonts w:hint="eastAsia" w:ascii="宋体" w:hAnsi="宋体"/>
                <w:b/>
                <w:bCs/>
                <w:spacing w:val="-8"/>
                <w:sz w:val="28"/>
                <w:szCs w:val="28"/>
              </w:rPr>
              <w:t xml:space="preserve">2.2 </w:t>
            </w:r>
            <w:r>
              <w:rPr>
                <w:rFonts w:ascii="宋体" w:hAnsi="宋体"/>
                <w:b/>
                <w:bCs/>
                <w:spacing w:val="-8"/>
                <w:sz w:val="28"/>
                <w:szCs w:val="28"/>
              </w:rPr>
              <w:t>社会环境简况（社会经济结构、教育、文化、文物保护等）</w:t>
            </w:r>
          </w:p>
          <w:p>
            <w:pPr>
              <w:spacing w:line="360" w:lineRule="auto"/>
              <w:ind w:firstLine="480" w:firstLineChars="200"/>
              <w:rPr>
                <w:sz w:val="24"/>
              </w:rPr>
            </w:pPr>
            <w:r>
              <w:rPr>
                <w:rFonts w:hint="eastAsia"/>
                <w:sz w:val="24"/>
              </w:rPr>
              <w:t>项目选址湖南省湘潭经济技术开发区（原长株潭城市群两型社会示范区九华片区，下称九华片区），九华片区社会环境概况如下：</w:t>
            </w:r>
          </w:p>
          <w:p>
            <w:pPr>
              <w:pStyle w:val="9"/>
              <w:spacing w:line="440" w:lineRule="exact"/>
              <w:ind w:firstLine="0" w:firstLineChars="0"/>
              <w:jc w:val="left"/>
              <w:rPr>
                <w:b/>
                <w:spacing w:val="4"/>
                <w:sz w:val="24"/>
                <w:szCs w:val="24"/>
              </w:rPr>
            </w:pPr>
            <w:r>
              <w:rPr>
                <w:rFonts w:hint="eastAsia"/>
                <w:b/>
                <w:spacing w:val="4"/>
                <w:sz w:val="24"/>
                <w:szCs w:val="24"/>
              </w:rPr>
              <w:t>2.2.1九华片区概况</w:t>
            </w:r>
          </w:p>
          <w:p>
            <w:pPr>
              <w:spacing w:line="360" w:lineRule="auto"/>
              <w:ind w:firstLine="480" w:firstLineChars="200"/>
              <w:rPr>
                <w:sz w:val="24"/>
              </w:rPr>
            </w:pPr>
            <w:r>
              <w:rPr>
                <w:rFonts w:hint="eastAsia"/>
                <w:sz w:val="24"/>
              </w:rPr>
              <w:t>九华片区规划总面积132.81km</w:t>
            </w:r>
            <w:r>
              <w:rPr>
                <w:rFonts w:hint="eastAsia"/>
                <w:sz w:val="24"/>
                <w:vertAlign w:val="superscript"/>
              </w:rPr>
              <w:t>2</w:t>
            </w:r>
            <w:r>
              <w:rPr>
                <w:rFonts w:hint="eastAsia"/>
                <w:sz w:val="24"/>
              </w:rPr>
              <w:t>，规划期限为2016~2030年，其中近期为2016年~2020年，远期为2021~2030年，远景为2030年以后。各建设期建设目标如下：</w:t>
            </w:r>
          </w:p>
          <w:p>
            <w:pPr>
              <w:spacing w:line="360" w:lineRule="auto"/>
              <w:ind w:firstLine="480" w:firstLineChars="200"/>
              <w:rPr>
                <w:sz w:val="24"/>
              </w:rPr>
            </w:pPr>
            <w:r>
              <w:rPr>
                <w:rFonts w:hint="eastAsia"/>
                <w:sz w:val="24"/>
              </w:rPr>
              <w:t>（1）近期建设目标</w:t>
            </w:r>
          </w:p>
          <w:p>
            <w:pPr>
              <w:spacing w:line="360" w:lineRule="auto"/>
              <w:ind w:firstLine="480" w:firstLineChars="200"/>
              <w:rPr>
                <w:sz w:val="24"/>
              </w:rPr>
            </w:pPr>
            <w:r>
              <w:rPr>
                <w:rFonts w:hint="eastAsia"/>
                <w:sz w:val="24"/>
              </w:rPr>
              <w:t>各项建设取得全面突破，经济社会发展综合实力全面提升，率先全面建成“两型社会”。2020年技工贸总收入达到3000亿，实现地区生产总值650亿元，人均地区生产总值达到15.8万元，科技研发经营支出占GDP比重达到3.68%，城镇居民人均可支配收入与农村居民人均可支配入分别达到6.8万元与4.74万元。形成有利于资源节约和生态环境保护的体制机制；持续推进功能混合和产城融合建设，由单一的生产功能向城市综合功能的转型取得初步成果；城乡统筹发展取得全面突破，城乡统筹发展的体制机制和政策框架体系全面建立。</w:t>
            </w:r>
          </w:p>
          <w:p>
            <w:pPr>
              <w:spacing w:line="360" w:lineRule="auto"/>
              <w:ind w:firstLine="480" w:firstLineChars="200"/>
              <w:rPr>
                <w:sz w:val="24"/>
              </w:rPr>
            </w:pPr>
            <w:r>
              <w:rPr>
                <w:rFonts w:hint="eastAsia"/>
                <w:sz w:val="24"/>
              </w:rPr>
              <w:t>（2）远期建设目标</w:t>
            </w:r>
          </w:p>
          <w:p>
            <w:pPr>
              <w:spacing w:line="360" w:lineRule="auto"/>
              <w:ind w:firstLine="480" w:firstLineChars="200"/>
              <w:rPr>
                <w:sz w:val="24"/>
              </w:rPr>
            </w:pPr>
            <w:r>
              <w:rPr>
                <w:rFonts w:hint="eastAsia"/>
                <w:sz w:val="24"/>
              </w:rPr>
              <w:t>各项城市功能完备，产城融合建设全面完成。2030年技工贸总收入达到4500亿，实现地区生产总值1200亿元，人均地区生产总值达到20万元，科技研发经营支出占GDP比重达到4.0%，城镇居民人均可支配收入与农村居民人均可支配入分别达到11万元与8万元。城乡统筹、区域协调、内外平衡、经济社会同步、人与自然和谐的发展格局形成，建成滨江特色突出的宜居新城、“两型”产业主导的产业新区。</w:t>
            </w:r>
          </w:p>
          <w:p>
            <w:pPr>
              <w:pStyle w:val="9"/>
              <w:spacing w:line="440" w:lineRule="exact"/>
              <w:ind w:firstLine="0" w:firstLineChars="0"/>
              <w:jc w:val="left"/>
              <w:rPr>
                <w:b/>
                <w:spacing w:val="4"/>
                <w:sz w:val="24"/>
                <w:szCs w:val="24"/>
              </w:rPr>
            </w:pPr>
            <w:r>
              <w:rPr>
                <w:rFonts w:hint="eastAsia"/>
                <w:b/>
                <w:spacing w:val="4"/>
                <w:sz w:val="24"/>
                <w:szCs w:val="24"/>
              </w:rPr>
              <w:t>2.2.2 九华片区定位</w:t>
            </w:r>
          </w:p>
          <w:p>
            <w:pPr>
              <w:spacing w:line="360" w:lineRule="auto"/>
              <w:ind w:firstLine="480" w:firstLineChars="200"/>
              <w:rPr>
                <w:sz w:val="24"/>
              </w:rPr>
            </w:pPr>
            <w:r>
              <w:rPr>
                <w:rFonts w:hint="eastAsia"/>
                <w:sz w:val="24"/>
              </w:rPr>
              <w:t>（1）九华片区的定位：全国“两型”社会建设示范区与国家级产城融合示范区，长江经济带上的先进制造中心，区域创新中心与综合物流基地和以湘江风光为特色的滨江新城。</w:t>
            </w:r>
          </w:p>
          <w:p>
            <w:pPr>
              <w:spacing w:line="360" w:lineRule="auto"/>
              <w:ind w:firstLine="480" w:firstLineChars="200"/>
              <w:rPr>
                <w:sz w:val="24"/>
              </w:rPr>
            </w:pPr>
            <w:r>
              <w:rPr>
                <w:rFonts w:hint="eastAsia"/>
                <w:sz w:val="24"/>
              </w:rPr>
              <w:t>（2）产业定位：坚持以汽车及零部件产业、先进装备制造业、新一代信息技术为主导，加快总仓基地、现代服务业等新兴产业的发展，加强对高新技术、创新创业和工业旅游的培育。</w:t>
            </w:r>
          </w:p>
          <w:p>
            <w:pPr>
              <w:spacing w:line="360" w:lineRule="auto"/>
              <w:ind w:firstLine="480" w:firstLineChars="200"/>
              <w:rPr>
                <w:sz w:val="24"/>
              </w:rPr>
            </w:pPr>
            <w:r>
              <w:rPr>
                <w:rFonts w:hint="eastAsia"/>
                <w:sz w:val="24"/>
              </w:rPr>
              <w:t>（3）功能定位：</w:t>
            </w:r>
          </w:p>
          <w:p>
            <w:pPr>
              <w:spacing w:line="360" w:lineRule="auto"/>
              <w:ind w:firstLine="480" w:firstLineChars="200"/>
              <w:rPr>
                <w:sz w:val="24"/>
              </w:rPr>
            </w:pPr>
            <w:r>
              <w:rPr>
                <w:rFonts w:hint="eastAsia"/>
                <w:sz w:val="24"/>
              </w:rPr>
              <w:t>①全国“两型”社会建设示范区、新型城镇化与新型工业化示范基地。</w:t>
            </w:r>
          </w:p>
          <w:p>
            <w:pPr>
              <w:spacing w:line="360" w:lineRule="auto"/>
              <w:ind w:firstLine="480" w:firstLineChars="200"/>
              <w:rPr>
                <w:sz w:val="24"/>
              </w:rPr>
            </w:pPr>
            <w:r>
              <w:rPr>
                <w:rFonts w:hint="eastAsia"/>
                <w:sz w:val="24"/>
              </w:rPr>
              <w:t>②湖南省重要的先进制造业中心和总仓基地。</w:t>
            </w:r>
          </w:p>
          <w:p>
            <w:pPr>
              <w:spacing w:line="360" w:lineRule="auto"/>
              <w:ind w:firstLine="480" w:firstLineChars="200"/>
              <w:rPr>
                <w:sz w:val="24"/>
              </w:rPr>
            </w:pPr>
            <w:r>
              <w:rPr>
                <w:rFonts w:hint="eastAsia"/>
                <w:sz w:val="24"/>
              </w:rPr>
              <w:t>③长株潭城市群的工业智慧新城与交通枢纽。</w:t>
            </w:r>
          </w:p>
          <w:p>
            <w:pPr>
              <w:spacing w:line="360" w:lineRule="auto"/>
              <w:ind w:firstLine="480" w:firstLineChars="200"/>
              <w:rPr>
                <w:sz w:val="24"/>
              </w:rPr>
            </w:pPr>
            <w:r>
              <w:rPr>
                <w:rFonts w:hint="eastAsia"/>
                <w:sz w:val="24"/>
              </w:rPr>
              <w:t>④湘潭市对接湘江新区的主体功能组团和生态文明新区。</w:t>
            </w:r>
          </w:p>
          <w:p>
            <w:pPr>
              <w:spacing w:line="360" w:lineRule="auto"/>
              <w:ind w:firstLine="480" w:firstLineChars="200"/>
              <w:rPr>
                <w:sz w:val="24"/>
              </w:rPr>
            </w:pPr>
            <w:r>
              <w:rPr>
                <w:rFonts w:hint="eastAsia"/>
                <w:sz w:val="24"/>
              </w:rPr>
              <w:t>⑤教育培训、创新创业基地。</w:t>
            </w:r>
          </w:p>
          <w:p>
            <w:pPr>
              <w:spacing w:line="360" w:lineRule="auto"/>
              <w:ind w:firstLine="480" w:firstLineChars="200"/>
              <w:rPr>
                <w:sz w:val="24"/>
              </w:rPr>
            </w:pPr>
            <w:r>
              <w:rPr>
                <w:rFonts w:hint="eastAsia"/>
                <w:sz w:val="24"/>
              </w:rPr>
              <w:t>⑥高品质休闲、文化中心。</w:t>
            </w:r>
          </w:p>
          <w:p>
            <w:pPr>
              <w:spacing w:line="360" w:lineRule="auto"/>
              <w:ind w:firstLine="480" w:firstLineChars="200"/>
              <w:rPr>
                <w:sz w:val="24"/>
              </w:rPr>
            </w:pPr>
            <w:r>
              <w:rPr>
                <w:rFonts w:hint="eastAsia"/>
                <w:sz w:val="24"/>
              </w:rPr>
              <w:t>（4）形象定位：三市中央的创业新区，现代化开放的滨江休闲乐园。即三市中央、产业新区、滨江新城。</w:t>
            </w:r>
          </w:p>
          <w:p>
            <w:pPr>
              <w:pStyle w:val="9"/>
              <w:spacing w:line="440" w:lineRule="exact"/>
              <w:ind w:firstLine="0" w:firstLineChars="0"/>
              <w:jc w:val="left"/>
              <w:rPr>
                <w:b/>
                <w:spacing w:val="4"/>
                <w:sz w:val="24"/>
                <w:szCs w:val="24"/>
              </w:rPr>
            </w:pPr>
            <w:r>
              <w:rPr>
                <w:rFonts w:hint="eastAsia"/>
                <w:b/>
                <w:spacing w:val="4"/>
                <w:sz w:val="24"/>
                <w:szCs w:val="24"/>
              </w:rPr>
              <w:t>2.2.3 九华片区给排水</w:t>
            </w:r>
          </w:p>
          <w:p>
            <w:pPr>
              <w:spacing w:line="360" w:lineRule="auto"/>
              <w:ind w:firstLine="480" w:firstLineChars="200"/>
              <w:rPr>
                <w:sz w:val="24"/>
              </w:rPr>
            </w:pPr>
            <w:r>
              <w:rPr>
                <w:sz w:val="24"/>
              </w:rPr>
              <w:t>九华</w:t>
            </w:r>
            <w:r>
              <w:rPr>
                <w:rFonts w:hint="eastAsia"/>
                <w:sz w:val="24"/>
              </w:rPr>
              <w:t>片区</w:t>
            </w:r>
            <w:r>
              <w:rPr>
                <w:sz w:val="24"/>
              </w:rPr>
              <w:t>给水水源为湘江，自备水源纳入统一管理，原则上不再开发自备水源，原有自备水源逐步取消。严禁擅自开采地下水资源。九华</w:t>
            </w:r>
            <w:r>
              <w:rPr>
                <w:rFonts w:hint="eastAsia"/>
                <w:sz w:val="24"/>
              </w:rPr>
              <w:t>片区</w:t>
            </w:r>
            <w:r>
              <w:rPr>
                <w:sz w:val="24"/>
              </w:rPr>
              <w:t>近期由湘潭市一水厂供水，中远期由湘潭市一水厂和九华水厂联合供水，水厂出水水质必须达到国家规范《生活饮用水卫生规范》（GB5749-2006）要求。</w:t>
            </w:r>
          </w:p>
          <w:p>
            <w:pPr>
              <w:spacing w:line="360" w:lineRule="auto"/>
              <w:ind w:firstLine="480" w:firstLineChars="200"/>
              <w:rPr>
                <w:sz w:val="24"/>
              </w:rPr>
            </w:pPr>
            <w:r>
              <w:rPr>
                <w:sz w:val="24"/>
              </w:rPr>
              <w:t>九华</w:t>
            </w:r>
            <w:r>
              <w:rPr>
                <w:rFonts w:hint="eastAsia"/>
                <w:sz w:val="24"/>
              </w:rPr>
              <w:t>片区</w:t>
            </w:r>
            <w:r>
              <w:rPr>
                <w:sz w:val="24"/>
              </w:rPr>
              <w:t>采用完全分流制排水体制。吉利路以南以及江南大道以西的污水进入河西污水处理厂。九华污水处理厂处理吉利路以北、江南大道以东的污水，</w:t>
            </w:r>
            <w:r>
              <w:rPr>
                <w:rFonts w:hint="eastAsia"/>
                <w:sz w:val="24"/>
              </w:rPr>
              <w:t>该</w:t>
            </w:r>
            <w:r>
              <w:rPr>
                <w:sz w:val="24"/>
              </w:rPr>
              <w:t>污水处理厂近期处理规模为5万m</w:t>
            </w:r>
            <w:r>
              <w:rPr>
                <w:sz w:val="24"/>
                <w:vertAlign w:val="superscript"/>
              </w:rPr>
              <w:t>3</w:t>
            </w:r>
            <w:r>
              <w:rPr>
                <w:sz w:val="24"/>
              </w:rPr>
              <w:t>/d，出水水质达到《城镇污水处理厂污染物排放标准》（GB18918-2002）一级A标准，远期要求达到中水回用标准。</w:t>
            </w:r>
          </w:p>
          <w:p>
            <w:pPr>
              <w:snapToGrid w:val="0"/>
              <w:spacing w:line="360" w:lineRule="auto"/>
              <w:jc w:val="center"/>
              <w:rPr>
                <w:b/>
                <w:sz w:val="24"/>
              </w:rPr>
            </w:pPr>
            <w:r>
              <w:rPr>
                <w:rFonts w:hint="eastAsia"/>
                <w:b/>
                <w:sz w:val="24"/>
              </w:rPr>
              <w:t>表2-1  九华污水处理厂设计进出水水质一览表</w:t>
            </w:r>
          </w:p>
          <w:tbl>
            <w:tblPr>
              <w:tblStyle w:val="29"/>
              <w:tblW w:w="9110"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3534"/>
              <w:gridCol w:w="993"/>
              <w:gridCol w:w="1098"/>
              <w:gridCol w:w="799"/>
              <w:gridCol w:w="746"/>
              <w:gridCol w:w="1220"/>
              <w:gridCol w:w="72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3534" w:type="dxa"/>
                  <w:vAlign w:val="center"/>
                </w:tcPr>
                <w:p>
                  <w:pPr>
                    <w:adjustRightInd w:val="0"/>
                    <w:jc w:val="center"/>
                    <w:rPr>
                      <w:bCs/>
                      <w:kern w:val="0"/>
                      <w:szCs w:val="21"/>
                      <w:lang w:val="zh-CN"/>
                    </w:rPr>
                  </w:pPr>
                  <w:r>
                    <w:rPr>
                      <w:rFonts w:hint="eastAsia"/>
                      <w:bCs/>
                      <w:kern w:val="0"/>
                      <w:szCs w:val="21"/>
                      <w:lang w:val="zh-CN"/>
                    </w:rPr>
                    <w:t>项目</w:t>
                  </w:r>
                </w:p>
              </w:tc>
              <w:tc>
                <w:tcPr>
                  <w:tcW w:w="993" w:type="dxa"/>
                  <w:vAlign w:val="center"/>
                </w:tcPr>
                <w:p>
                  <w:pPr>
                    <w:adjustRightInd w:val="0"/>
                    <w:jc w:val="center"/>
                    <w:rPr>
                      <w:bCs/>
                      <w:kern w:val="0"/>
                      <w:szCs w:val="21"/>
                      <w:lang w:val="zh-CN"/>
                    </w:rPr>
                  </w:pPr>
                  <w:r>
                    <w:rPr>
                      <w:rFonts w:hint="eastAsia"/>
                      <w:bCs/>
                      <w:kern w:val="0"/>
                      <w:szCs w:val="21"/>
                      <w:lang w:val="zh-CN"/>
                    </w:rPr>
                    <w:t>COD</w:t>
                  </w:r>
                </w:p>
              </w:tc>
              <w:tc>
                <w:tcPr>
                  <w:tcW w:w="1098" w:type="dxa"/>
                  <w:vAlign w:val="center"/>
                </w:tcPr>
                <w:p>
                  <w:pPr>
                    <w:adjustRightInd w:val="0"/>
                    <w:jc w:val="center"/>
                    <w:rPr>
                      <w:bCs/>
                      <w:kern w:val="0"/>
                      <w:szCs w:val="21"/>
                      <w:vertAlign w:val="subscript"/>
                      <w:lang w:val="zh-CN"/>
                    </w:rPr>
                  </w:pPr>
                  <w:r>
                    <w:rPr>
                      <w:rFonts w:hint="eastAsia"/>
                      <w:bCs/>
                      <w:kern w:val="0"/>
                      <w:szCs w:val="21"/>
                      <w:lang w:val="zh-CN"/>
                    </w:rPr>
                    <w:t>BOD</w:t>
                  </w:r>
                  <w:r>
                    <w:rPr>
                      <w:rFonts w:hint="eastAsia"/>
                      <w:bCs/>
                      <w:kern w:val="0"/>
                      <w:szCs w:val="21"/>
                      <w:vertAlign w:val="subscript"/>
                      <w:lang w:val="zh-CN"/>
                    </w:rPr>
                    <w:t>5</w:t>
                  </w:r>
                </w:p>
              </w:tc>
              <w:tc>
                <w:tcPr>
                  <w:tcW w:w="799" w:type="dxa"/>
                  <w:vAlign w:val="center"/>
                </w:tcPr>
                <w:p>
                  <w:pPr>
                    <w:adjustRightInd w:val="0"/>
                    <w:jc w:val="center"/>
                    <w:rPr>
                      <w:rFonts w:hAnsi="宋体"/>
                      <w:bCs/>
                      <w:kern w:val="0"/>
                      <w:szCs w:val="21"/>
                      <w:lang w:val="zh-CN"/>
                    </w:rPr>
                  </w:pPr>
                  <w:r>
                    <w:rPr>
                      <w:rFonts w:hint="eastAsia" w:hAnsi="宋体"/>
                      <w:bCs/>
                      <w:kern w:val="0"/>
                      <w:szCs w:val="21"/>
                      <w:lang w:val="zh-CN"/>
                    </w:rPr>
                    <w:t>SS</w:t>
                  </w:r>
                </w:p>
              </w:tc>
              <w:tc>
                <w:tcPr>
                  <w:tcW w:w="746" w:type="dxa"/>
                  <w:vAlign w:val="center"/>
                </w:tcPr>
                <w:p>
                  <w:pPr>
                    <w:adjustRightInd w:val="0"/>
                    <w:jc w:val="center"/>
                    <w:rPr>
                      <w:bCs/>
                      <w:kern w:val="0"/>
                      <w:szCs w:val="21"/>
                      <w:lang w:val="zh-CN"/>
                    </w:rPr>
                  </w:pPr>
                  <w:r>
                    <w:rPr>
                      <w:rFonts w:hint="eastAsia"/>
                      <w:bCs/>
                      <w:kern w:val="0"/>
                      <w:szCs w:val="21"/>
                      <w:lang w:val="zh-CN"/>
                    </w:rPr>
                    <w:t>TN</w:t>
                  </w:r>
                </w:p>
              </w:tc>
              <w:tc>
                <w:tcPr>
                  <w:tcW w:w="1220" w:type="dxa"/>
                  <w:vAlign w:val="center"/>
                </w:tcPr>
                <w:p>
                  <w:pPr>
                    <w:adjustRightInd w:val="0"/>
                    <w:jc w:val="center"/>
                    <w:rPr>
                      <w:bCs/>
                      <w:kern w:val="0"/>
                      <w:szCs w:val="21"/>
                      <w:lang w:val="zh-CN"/>
                    </w:rPr>
                  </w:pPr>
                  <w:r>
                    <w:rPr>
                      <w:rFonts w:hint="eastAsia"/>
                      <w:bCs/>
                      <w:kern w:val="0"/>
                      <w:szCs w:val="21"/>
                      <w:lang w:val="zh-CN"/>
                    </w:rPr>
                    <w:t>NH</w:t>
                  </w:r>
                  <w:r>
                    <w:rPr>
                      <w:rFonts w:hint="eastAsia"/>
                      <w:bCs/>
                      <w:kern w:val="0"/>
                      <w:szCs w:val="21"/>
                      <w:vertAlign w:val="subscript"/>
                      <w:lang w:val="zh-CN"/>
                    </w:rPr>
                    <w:t>3</w:t>
                  </w:r>
                  <w:r>
                    <w:rPr>
                      <w:rFonts w:hint="eastAsia"/>
                      <w:bCs/>
                      <w:kern w:val="0"/>
                      <w:szCs w:val="21"/>
                      <w:lang w:val="zh-CN"/>
                    </w:rPr>
                    <w:t>-N</w:t>
                  </w:r>
                </w:p>
              </w:tc>
              <w:tc>
                <w:tcPr>
                  <w:tcW w:w="720" w:type="dxa"/>
                  <w:vAlign w:val="center"/>
                </w:tcPr>
                <w:p>
                  <w:pPr>
                    <w:adjustRightInd w:val="0"/>
                    <w:jc w:val="center"/>
                    <w:rPr>
                      <w:bCs/>
                      <w:kern w:val="0"/>
                      <w:szCs w:val="21"/>
                      <w:lang w:val="zh-CN"/>
                    </w:rPr>
                  </w:pPr>
                  <w:r>
                    <w:rPr>
                      <w:rFonts w:hint="eastAsia"/>
                      <w:bCs/>
                      <w:kern w:val="0"/>
                      <w:szCs w:val="21"/>
                      <w:lang w:val="zh-CN"/>
                    </w:rPr>
                    <w:t>TP</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3534" w:type="dxa"/>
                  <w:vAlign w:val="center"/>
                </w:tcPr>
                <w:p>
                  <w:pPr>
                    <w:adjustRightInd w:val="0"/>
                    <w:jc w:val="center"/>
                    <w:rPr>
                      <w:bCs/>
                      <w:kern w:val="0"/>
                      <w:szCs w:val="21"/>
                      <w:lang w:val="zh-CN"/>
                    </w:rPr>
                  </w:pPr>
                  <w:r>
                    <w:rPr>
                      <w:rFonts w:hint="eastAsia"/>
                      <w:bCs/>
                      <w:kern w:val="0"/>
                      <w:szCs w:val="21"/>
                      <w:lang w:val="zh-CN"/>
                    </w:rPr>
                    <w:t>设计进水水质（mg/L）</w:t>
                  </w:r>
                </w:p>
              </w:tc>
              <w:tc>
                <w:tcPr>
                  <w:tcW w:w="993" w:type="dxa"/>
                  <w:vAlign w:val="center"/>
                </w:tcPr>
                <w:p>
                  <w:pPr>
                    <w:adjustRightInd w:val="0"/>
                    <w:jc w:val="center"/>
                    <w:rPr>
                      <w:bCs/>
                      <w:kern w:val="0"/>
                      <w:szCs w:val="21"/>
                      <w:lang w:val="zh-CN"/>
                    </w:rPr>
                  </w:pPr>
                  <w:r>
                    <w:rPr>
                      <w:rFonts w:hint="eastAsia"/>
                      <w:bCs/>
                      <w:kern w:val="0"/>
                      <w:szCs w:val="21"/>
                      <w:lang w:val="zh-CN"/>
                    </w:rPr>
                    <w:t>300</w:t>
                  </w:r>
                </w:p>
              </w:tc>
              <w:tc>
                <w:tcPr>
                  <w:tcW w:w="1098" w:type="dxa"/>
                  <w:vAlign w:val="center"/>
                </w:tcPr>
                <w:p>
                  <w:pPr>
                    <w:adjustRightInd w:val="0"/>
                    <w:jc w:val="center"/>
                    <w:rPr>
                      <w:bCs/>
                      <w:kern w:val="0"/>
                      <w:szCs w:val="21"/>
                      <w:lang w:val="zh-CN"/>
                    </w:rPr>
                  </w:pPr>
                  <w:r>
                    <w:rPr>
                      <w:rFonts w:hint="eastAsia"/>
                      <w:bCs/>
                      <w:kern w:val="0"/>
                      <w:szCs w:val="21"/>
                      <w:lang w:val="zh-CN"/>
                    </w:rPr>
                    <w:t>130</w:t>
                  </w:r>
                </w:p>
              </w:tc>
              <w:tc>
                <w:tcPr>
                  <w:tcW w:w="799" w:type="dxa"/>
                  <w:vAlign w:val="center"/>
                </w:tcPr>
                <w:p>
                  <w:pPr>
                    <w:adjustRightInd w:val="0"/>
                    <w:jc w:val="center"/>
                    <w:rPr>
                      <w:rFonts w:hAnsi="宋体"/>
                      <w:bCs/>
                      <w:kern w:val="0"/>
                      <w:szCs w:val="21"/>
                      <w:lang w:val="zh-CN"/>
                    </w:rPr>
                  </w:pPr>
                  <w:r>
                    <w:rPr>
                      <w:rFonts w:hint="eastAsia" w:hAnsi="宋体"/>
                      <w:bCs/>
                      <w:kern w:val="0"/>
                      <w:szCs w:val="21"/>
                      <w:lang w:val="zh-CN"/>
                    </w:rPr>
                    <w:t>300</w:t>
                  </w:r>
                </w:p>
              </w:tc>
              <w:tc>
                <w:tcPr>
                  <w:tcW w:w="746" w:type="dxa"/>
                  <w:vAlign w:val="center"/>
                </w:tcPr>
                <w:p>
                  <w:pPr>
                    <w:adjustRightInd w:val="0"/>
                    <w:jc w:val="center"/>
                    <w:rPr>
                      <w:bCs/>
                      <w:kern w:val="0"/>
                      <w:szCs w:val="21"/>
                      <w:lang w:val="zh-CN"/>
                    </w:rPr>
                  </w:pPr>
                  <w:r>
                    <w:rPr>
                      <w:rFonts w:hint="eastAsia"/>
                      <w:bCs/>
                      <w:kern w:val="0"/>
                      <w:szCs w:val="21"/>
                      <w:lang w:val="zh-CN"/>
                    </w:rPr>
                    <w:t>35</w:t>
                  </w:r>
                </w:p>
              </w:tc>
              <w:tc>
                <w:tcPr>
                  <w:tcW w:w="1220" w:type="dxa"/>
                  <w:vAlign w:val="center"/>
                </w:tcPr>
                <w:p>
                  <w:pPr>
                    <w:adjustRightInd w:val="0"/>
                    <w:jc w:val="center"/>
                    <w:rPr>
                      <w:bCs/>
                      <w:kern w:val="0"/>
                      <w:szCs w:val="21"/>
                      <w:lang w:val="zh-CN"/>
                    </w:rPr>
                  </w:pPr>
                  <w:r>
                    <w:rPr>
                      <w:rFonts w:hint="eastAsia"/>
                      <w:bCs/>
                      <w:kern w:val="0"/>
                      <w:szCs w:val="21"/>
                      <w:lang w:val="zh-CN"/>
                    </w:rPr>
                    <w:t>30</w:t>
                  </w:r>
                </w:p>
              </w:tc>
              <w:tc>
                <w:tcPr>
                  <w:tcW w:w="720" w:type="dxa"/>
                  <w:vAlign w:val="center"/>
                </w:tcPr>
                <w:p>
                  <w:pPr>
                    <w:adjustRightInd w:val="0"/>
                    <w:jc w:val="center"/>
                    <w:rPr>
                      <w:bCs/>
                      <w:kern w:val="0"/>
                      <w:szCs w:val="21"/>
                      <w:lang w:val="zh-CN"/>
                    </w:rPr>
                  </w:pPr>
                  <w:r>
                    <w:rPr>
                      <w:rFonts w:hint="eastAsia"/>
                      <w:bCs/>
                      <w:kern w:val="0"/>
                      <w:szCs w:val="21"/>
                      <w:lang w:val="zh-CN"/>
                    </w:rPr>
                    <w:t>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3534" w:type="dxa"/>
                  <w:vAlign w:val="center"/>
                </w:tcPr>
                <w:p>
                  <w:pPr>
                    <w:adjustRightInd w:val="0"/>
                    <w:jc w:val="center"/>
                    <w:rPr>
                      <w:bCs/>
                      <w:kern w:val="0"/>
                      <w:szCs w:val="21"/>
                      <w:lang w:val="zh-CN"/>
                    </w:rPr>
                  </w:pPr>
                  <w:r>
                    <w:rPr>
                      <w:rFonts w:hint="eastAsia"/>
                      <w:bCs/>
                      <w:kern w:val="0"/>
                      <w:szCs w:val="21"/>
                      <w:lang w:val="zh-CN"/>
                    </w:rPr>
                    <w:t>设计出水水质（mg/L）</w:t>
                  </w:r>
                </w:p>
              </w:tc>
              <w:tc>
                <w:tcPr>
                  <w:tcW w:w="993" w:type="dxa"/>
                  <w:vAlign w:val="center"/>
                </w:tcPr>
                <w:p>
                  <w:pPr>
                    <w:adjustRightInd w:val="0"/>
                    <w:jc w:val="center"/>
                    <w:rPr>
                      <w:bCs/>
                      <w:kern w:val="0"/>
                      <w:szCs w:val="21"/>
                      <w:lang w:val="zh-CN"/>
                    </w:rPr>
                  </w:pPr>
                  <w:r>
                    <w:rPr>
                      <w:rFonts w:hint="eastAsia"/>
                      <w:bCs/>
                      <w:kern w:val="0"/>
                      <w:szCs w:val="21"/>
                      <w:lang w:val="zh-CN"/>
                    </w:rPr>
                    <w:t>50</w:t>
                  </w:r>
                </w:p>
              </w:tc>
              <w:tc>
                <w:tcPr>
                  <w:tcW w:w="1098" w:type="dxa"/>
                  <w:vAlign w:val="center"/>
                </w:tcPr>
                <w:p>
                  <w:pPr>
                    <w:adjustRightInd w:val="0"/>
                    <w:jc w:val="center"/>
                    <w:rPr>
                      <w:bCs/>
                      <w:kern w:val="0"/>
                      <w:szCs w:val="21"/>
                      <w:lang w:val="zh-CN"/>
                    </w:rPr>
                  </w:pPr>
                  <w:r>
                    <w:rPr>
                      <w:rFonts w:hint="eastAsia"/>
                      <w:bCs/>
                      <w:kern w:val="0"/>
                      <w:szCs w:val="21"/>
                      <w:lang w:val="zh-CN"/>
                    </w:rPr>
                    <w:t>10</w:t>
                  </w:r>
                </w:p>
              </w:tc>
              <w:tc>
                <w:tcPr>
                  <w:tcW w:w="799" w:type="dxa"/>
                  <w:vAlign w:val="center"/>
                </w:tcPr>
                <w:p>
                  <w:pPr>
                    <w:adjustRightInd w:val="0"/>
                    <w:jc w:val="center"/>
                    <w:rPr>
                      <w:rFonts w:hAnsi="宋体"/>
                      <w:bCs/>
                      <w:kern w:val="0"/>
                      <w:szCs w:val="21"/>
                      <w:lang w:val="zh-CN"/>
                    </w:rPr>
                  </w:pPr>
                  <w:r>
                    <w:rPr>
                      <w:rFonts w:hint="eastAsia" w:hAnsi="宋体"/>
                      <w:bCs/>
                      <w:kern w:val="0"/>
                      <w:szCs w:val="21"/>
                      <w:lang w:val="zh-CN"/>
                    </w:rPr>
                    <w:t>10</w:t>
                  </w:r>
                </w:p>
              </w:tc>
              <w:tc>
                <w:tcPr>
                  <w:tcW w:w="746" w:type="dxa"/>
                  <w:vAlign w:val="center"/>
                </w:tcPr>
                <w:p>
                  <w:pPr>
                    <w:adjustRightInd w:val="0"/>
                    <w:jc w:val="center"/>
                    <w:rPr>
                      <w:bCs/>
                      <w:kern w:val="0"/>
                      <w:szCs w:val="21"/>
                      <w:lang w:val="zh-CN"/>
                    </w:rPr>
                  </w:pPr>
                  <w:r>
                    <w:rPr>
                      <w:rFonts w:hint="eastAsia"/>
                      <w:bCs/>
                      <w:kern w:val="0"/>
                      <w:szCs w:val="21"/>
                      <w:lang w:val="zh-CN"/>
                    </w:rPr>
                    <w:t>15</w:t>
                  </w:r>
                </w:p>
              </w:tc>
              <w:tc>
                <w:tcPr>
                  <w:tcW w:w="1220" w:type="dxa"/>
                  <w:vAlign w:val="center"/>
                </w:tcPr>
                <w:p>
                  <w:pPr>
                    <w:adjustRightInd w:val="0"/>
                    <w:jc w:val="center"/>
                    <w:rPr>
                      <w:bCs/>
                      <w:kern w:val="0"/>
                      <w:szCs w:val="21"/>
                      <w:lang w:val="zh-CN"/>
                    </w:rPr>
                  </w:pPr>
                  <w:r>
                    <w:rPr>
                      <w:rFonts w:hint="eastAsia"/>
                      <w:bCs/>
                      <w:kern w:val="0"/>
                      <w:szCs w:val="21"/>
                      <w:lang w:val="zh-CN"/>
                    </w:rPr>
                    <w:t>5(8)</w:t>
                  </w:r>
                </w:p>
              </w:tc>
              <w:tc>
                <w:tcPr>
                  <w:tcW w:w="720" w:type="dxa"/>
                  <w:vAlign w:val="center"/>
                </w:tcPr>
                <w:p>
                  <w:pPr>
                    <w:adjustRightInd w:val="0"/>
                    <w:jc w:val="center"/>
                    <w:rPr>
                      <w:bCs/>
                      <w:kern w:val="0"/>
                      <w:szCs w:val="21"/>
                      <w:lang w:val="zh-CN"/>
                    </w:rPr>
                  </w:pPr>
                  <w:r>
                    <w:rPr>
                      <w:rFonts w:hint="eastAsia"/>
                      <w:bCs/>
                      <w:kern w:val="0"/>
                      <w:szCs w:val="21"/>
                      <w:lang w:val="zh-CN"/>
                    </w:rPr>
                    <w:t>0.5</w:t>
                  </w:r>
                </w:p>
              </w:tc>
            </w:tr>
          </w:tbl>
          <w:p>
            <w:pPr>
              <w:spacing w:line="360" w:lineRule="auto"/>
              <w:ind w:firstLine="480" w:firstLineChars="200"/>
              <w:rPr>
                <w:sz w:val="24"/>
              </w:rPr>
            </w:pPr>
            <w:r>
              <w:rPr>
                <w:rFonts w:hint="eastAsia"/>
                <w:sz w:val="24"/>
              </w:rPr>
              <w:t>本项目位于</w:t>
            </w:r>
            <w:r>
              <w:rPr>
                <w:sz w:val="24"/>
              </w:rPr>
              <w:t>吉利路以北、江南大道以东</w:t>
            </w:r>
            <w:r>
              <w:rPr>
                <w:rFonts w:hint="eastAsia"/>
                <w:sz w:val="24"/>
              </w:rPr>
              <w:t>，废水规划进入</w:t>
            </w:r>
            <w:r>
              <w:rPr>
                <w:sz w:val="24"/>
              </w:rPr>
              <w:t>九华污水处理厂</w:t>
            </w:r>
            <w:r>
              <w:rPr>
                <w:rFonts w:hint="eastAsia"/>
                <w:sz w:val="24"/>
              </w:rPr>
              <w:t>处理达标后最终汇入湘江。目前，九华污水处理厂一期工程已经建成，预计2017年12月投入运营。</w:t>
            </w:r>
          </w:p>
          <w:p>
            <w:pPr>
              <w:spacing w:line="360" w:lineRule="auto"/>
              <w:ind w:firstLine="480" w:firstLineChars="200"/>
              <w:rPr>
                <w:sz w:val="24"/>
              </w:rPr>
            </w:pPr>
          </w:p>
          <w:p>
            <w:pPr>
              <w:spacing w:line="360" w:lineRule="auto"/>
              <w:ind w:firstLine="584" w:firstLineChars="200"/>
              <w:rPr>
                <w:spacing w:val="6"/>
                <w:sz w:val="28"/>
              </w:rPr>
            </w:pPr>
          </w:p>
        </w:tc>
      </w:tr>
    </w:tbl>
    <w:p>
      <w:pPr>
        <w:spacing w:line="360" w:lineRule="auto"/>
        <w:ind w:firstLine="626" w:firstLineChars="200"/>
        <w:rPr>
          <w:rFonts w:ascii="黑体" w:hAnsi="黑体" w:eastAsia="黑体"/>
          <w:b/>
          <w:spacing w:val="6"/>
          <w:sz w:val="30"/>
          <w:szCs w:val="30"/>
        </w:rPr>
      </w:pPr>
    </w:p>
    <w:p>
      <w:pPr>
        <w:tabs>
          <w:tab w:val="left" w:pos="3828"/>
        </w:tabs>
        <w:spacing w:line="460" w:lineRule="exact"/>
        <w:outlineLvl w:val="0"/>
        <w:rPr>
          <w:rFonts w:ascii="黑体" w:hAnsi="黑体" w:eastAsia="黑体"/>
          <w:b/>
          <w:spacing w:val="6"/>
          <w:sz w:val="30"/>
          <w:szCs w:val="30"/>
        </w:rPr>
      </w:pPr>
      <w:r>
        <w:rPr>
          <w:rFonts w:hint="eastAsia" w:ascii="黑体" w:hAnsi="黑体" w:eastAsia="黑体"/>
          <w:b/>
          <w:spacing w:val="6"/>
          <w:sz w:val="30"/>
          <w:szCs w:val="30"/>
        </w:rPr>
        <w:t>三、</w:t>
      </w:r>
      <w:r>
        <w:rPr>
          <w:rFonts w:ascii="黑体" w:hAnsi="黑体" w:eastAsia="黑体"/>
          <w:b/>
          <w:spacing w:val="6"/>
          <w:sz w:val="30"/>
          <w:szCs w:val="30"/>
        </w:rPr>
        <w:t>环境质量状况</w:t>
      </w:r>
    </w:p>
    <w:tbl>
      <w:tblPr>
        <w:tblStyle w:val="29"/>
        <w:tblW w:w="95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27" w:hRule="atLeast"/>
        </w:trPr>
        <w:tc>
          <w:tcPr>
            <w:tcW w:w="9519" w:type="dxa"/>
          </w:tcPr>
          <w:p>
            <w:pPr>
              <w:spacing w:afterLines="50" w:line="460" w:lineRule="exact"/>
              <w:jc w:val="left"/>
              <w:rPr>
                <w:rFonts w:ascii="宋体" w:hAnsi="宋体"/>
                <w:b/>
                <w:bCs/>
                <w:spacing w:val="-8"/>
                <w:sz w:val="28"/>
                <w:szCs w:val="28"/>
              </w:rPr>
            </w:pPr>
            <w:r>
              <w:rPr>
                <w:rFonts w:ascii="宋体" w:hAnsi="宋体"/>
                <w:b/>
                <w:bCs/>
                <w:spacing w:val="-8"/>
                <w:sz w:val="28"/>
                <w:szCs w:val="28"/>
              </w:rPr>
              <w:pict>
                <v:shape id="_x0000_s3741" o:spid="_x0000_s3741" o:spt="62" type="#_x0000_t62" style="position:absolute;left:0pt;margin-left:94.2pt;margin-top:480.9pt;height:27.85pt;width:124.3pt;z-index:251699200;mso-width-relative:page;mso-height-relative:page;" coordsize="21600,21600" adj="23694,-17257">
                  <v:path/>
                  <v:fill focussize="0,0"/>
                  <v:stroke joinstyle="miter"/>
                  <v:imagedata o:title=""/>
                  <o:lock v:ext="edit"/>
                  <v:textbox>
                    <w:txbxContent>
                      <w:p>
                        <w:pPr>
                          <w:rPr>
                            <w:b/>
                          </w:rPr>
                        </w:pPr>
                        <w:r>
                          <w:rPr>
                            <w:rFonts w:hint="eastAsia"/>
                            <w:b/>
                          </w:rPr>
                          <w:t>项目整体工程范围</w:t>
                        </w:r>
                      </w:p>
                    </w:txbxContent>
                  </v:textbox>
                </v:shape>
              </w:pict>
            </w:r>
            <w:r>
              <w:rPr>
                <w:rFonts w:hint="eastAsia" w:ascii="宋体" w:hAnsi="宋体"/>
                <w:b/>
                <w:bCs/>
                <w:spacing w:val="-8"/>
                <w:sz w:val="28"/>
                <w:szCs w:val="28"/>
              </w:rPr>
              <w:t xml:space="preserve">3.1 </w:t>
            </w:r>
            <w:r>
              <w:rPr>
                <w:rFonts w:ascii="宋体" w:hAnsi="宋体"/>
                <w:b/>
                <w:bCs/>
                <w:spacing w:val="-8"/>
                <w:sz w:val="28"/>
                <w:szCs w:val="28"/>
              </w:rPr>
              <w:t>建设项目所在地区域环境质量现状及主要环境问题（环境空气、地面水、地下水、声环境、生态环境等）：</w:t>
            </w:r>
          </w:p>
          <w:p>
            <w:pPr>
              <w:pStyle w:val="9"/>
              <w:spacing w:line="440" w:lineRule="exact"/>
              <w:ind w:firstLine="0" w:firstLineChars="0"/>
              <w:jc w:val="left"/>
              <w:rPr>
                <w:b/>
                <w:spacing w:val="4"/>
                <w:sz w:val="24"/>
                <w:szCs w:val="24"/>
              </w:rPr>
            </w:pPr>
            <w:r>
              <w:rPr>
                <w:rFonts w:hint="eastAsia"/>
                <w:b/>
                <w:spacing w:val="4"/>
                <w:sz w:val="24"/>
                <w:szCs w:val="24"/>
              </w:rPr>
              <w:t>3.1.</w:t>
            </w:r>
            <w:r>
              <w:rPr>
                <w:b/>
                <w:spacing w:val="4"/>
                <w:sz w:val="24"/>
                <w:szCs w:val="24"/>
              </w:rPr>
              <w:t>1</w:t>
            </w:r>
            <w:r>
              <w:rPr>
                <w:rFonts w:hint="eastAsia"/>
                <w:b/>
                <w:spacing w:val="4"/>
                <w:sz w:val="24"/>
                <w:szCs w:val="24"/>
              </w:rPr>
              <w:t xml:space="preserve"> </w:t>
            </w:r>
            <w:r>
              <w:rPr>
                <w:b/>
                <w:spacing w:val="4"/>
                <w:sz w:val="24"/>
                <w:szCs w:val="24"/>
              </w:rPr>
              <w:t>环境空气质量现状</w:t>
            </w:r>
          </w:p>
          <w:p>
            <w:pPr>
              <w:spacing w:line="360" w:lineRule="auto"/>
              <w:ind w:firstLine="480" w:firstLineChars="200"/>
              <w:rPr>
                <w:kern w:val="0"/>
                <w:sz w:val="24"/>
                <w:lang w:val="zh-CN"/>
              </w:rPr>
            </w:pPr>
            <w:r>
              <w:rPr>
                <w:kern w:val="0"/>
                <w:sz w:val="24"/>
                <w:lang w:val="zh-CN"/>
              </w:rPr>
              <w:t>根据《湘潭市环境</w:t>
            </w:r>
            <w:r>
              <w:rPr>
                <w:rFonts w:hint="eastAsia"/>
                <w:kern w:val="0"/>
                <w:sz w:val="24"/>
                <w:lang w:val="zh-CN"/>
              </w:rPr>
              <w:t>空气</w:t>
            </w:r>
            <w:r>
              <w:rPr>
                <w:kern w:val="0"/>
                <w:sz w:val="24"/>
                <w:lang w:val="zh-CN"/>
              </w:rPr>
              <w:t>质量功能区划》，项目所在区域</w:t>
            </w:r>
            <w:r>
              <w:rPr>
                <w:rFonts w:hint="eastAsia"/>
                <w:kern w:val="0"/>
                <w:sz w:val="24"/>
                <w:lang w:val="zh-CN"/>
              </w:rPr>
              <w:t>环境空气质量中</w:t>
            </w:r>
            <w:r>
              <w:rPr>
                <w:sz w:val="24"/>
              </w:rPr>
              <w:t>SO</w:t>
            </w:r>
            <w:r>
              <w:rPr>
                <w:sz w:val="24"/>
                <w:vertAlign w:val="subscript"/>
              </w:rPr>
              <w:t>2</w:t>
            </w:r>
            <w:r>
              <w:rPr>
                <w:rFonts w:hint="eastAsia"/>
                <w:sz w:val="24"/>
              </w:rPr>
              <w:t>、</w:t>
            </w:r>
            <w:r>
              <w:rPr>
                <w:sz w:val="24"/>
              </w:rPr>
              <w:t>NO</w:t>
            </w:r>
            <w:r>
              <w:rPr>
                <w:sz w:val="24"/>
                <w:vertAlign w:val="subscript"/>
              </w:rPr>
              <w:t>2</w:t>
            </w:r>
            <w:r>
              <w:rPr>
                <w:rFonts w:hint="eastAsia"/>
                <w:sz w:val="24"/>
              </w:rPr>
              <w:t>、</w:t>
            </w:r>
            <w:r>
              <w:rPr>
                <w:sz w:val="24"/>
              </w:rPr>
              <w:t>PM</w:t>
            </w:r>
            <w:r>
              <w:rPr>
                <w:rFonts w:hint="eastAsia"/>
                <w:sz w:val="24"/>
                <w:vertAlign w:val="subscript"/>
              </w:rPr>
              <w:t>10</w:t>
            </w:r>
            <w:r>
              <w:rPr>
                <w:rFonts w:hint="eastAsia"/>
                <w:sz w:val="24"/>
              </w:rPr>
              <w:t>、</w:t>
            </w:r>
            <w:r>
              <w:rPr>
                <w:sz w:val="24"/>
              </w:rPr>
              <w:t>PM</w:t>
            </w:r>
            <w:r>
              <w:rPr>
                <w:rFonts w:hint="eastAsia"/>
                <w:sz w:val="24"/>
                <w:vertAlign w:val="subscript"/>
              </w:rPr>
              <w:t>2.5</w:t>
            </w:r>
            <w:r>
              <w:rPr>
                <w:kern w:val="0"/>
                <w:sz w:val="24"/>
                <w:lang w:val="zh-CN"/>
              </w:rPr>
              <w:t>执行《环境空气质量标准》</w:t>
            </w:r>
            <w:r>
              <w:rPr>
                <w:rFonts w:hint="eastAsia"/>
                <w:kern w:val="0"/>
                <w:sz w:val="24"/>
                <w:lang w:val="zh-CN"/>
              </w:rPr>
              <w:t>（</w:t>
            </w:r>
            <w:r>
              <w:rPr>
                <w:kern w:val="0"/>
                <w:sz w:val="24"/>
                <w:lang w:val="zh-CN"/>
              </w:rPr>
              <w:t>GB3095-</w:t>
            </w:r>
            <w:r>
              <w:rPr>
                <w:rFonts w:hint="eastAsia"/>
                <w:kern w:val="0"/>
                <w:sz w:val="24"/>
                <w:lang w:val="zh-CN"/>
              </w:rPr>
              <w:t>2012）</w:t>
            </w:r>
            <w:r>
              <w:rPr>
                <w:kern w:val="0"/>
                <w:sz w:val="24"/>
                <w:lang w:val="zh-CN"/>
              </w:rPr>
              <w:t>中二级标准，</w:t>
            </w:r>
            <w:r>
              <w:rPr>
                <w:rFonts w:hint="eastAsia"/>
                <w:kern w:val="0"/>
                <w:sz w:val="24"/>
                <w:lang w:val="zh-CN"/>
              </w:rPr>
              <w:t>挥发性有机化合物（VOCs）参照执行《室内空气质量标准》（GBT18883-2002）表1标准，非甲烷总烃参照执行《环境空气质量  非甲烷总烃限值》（DB13/1577-2012）表1中二级标准。</w:t>
            </w:r>
          </w:p>
          <w:p>
            <w:pPr>
              <w:spacing w:line="360" w:lineRule="auto"/>
              <w:ind w:firstLine="480" w:firstLineChars="200"/>
              <w:rPr>
                <w:kern w:val="0"/>
                <w:sz w:val="24"/>
                <w:lang w:val="zh-CN"/>
              </w:rPr>
            </w:pPr>
            <w:r>
              <w:rPr>
                <w:rFonts w:hint="eastAsia"/>
                <w:kern w:val="0"/>
                <w:sz w:val="24"/>
                <w:lang w:val="zh-CN"/>
              </w:rPr>
              <w:t>本次环评引用历史检测数据进行大气环境质量现状评价，引用的历史数据情况如下：</w:t>
            </w:r>
          </w:p>
          <w:p>
            <w:pPr>
              <w:spacing w:line="360" w:lineRule="auto"/>
              <w:ind w:firstLine="482" w:firstLineChars="200"/>
              <w:rPr>
                <w:b/>
                <w:kern w:val="0"/>
                <w:sz w:val="24"/>
                <w:lang w:val="zh-CN"/>
              </w:rPr>
            </w:pPr>
            <w:r>
              <w:rPr>
                <w:rFonts w:hint="eastAsia"/>
                <w:b/>
                <w:kern w:val="0"/>
                <w:sz w:val="24"/>
                <w:lang w:val="zh-CN"/>
              </w:rPr>
              <w:t>（1）监测点位1（A1，项目东南1265m处，具体位置见图3-1）</w:t>
            </w:r>
          </w:p>
          <w:p>
            <w:pPr>
              <w:spacing w:line="360" w:lineRule="auto"/>
              <w:ind w:firstLine="480" w:firstLineChars="200"/>
              <w:rPr>
                <w:kern w:val="0"/>
                <w:sz w:val="24"/>
                <w:lang w:val="zh-CN"/>
              </w:rPr>
            </w:pPr>
            <w:r>
              <w:rPr>
                <w:rFonts w:hint="eastAsia"/>
                <w:kern w:val="0"/>
                <w:sz w:val="24"/>
                <w:lang w:val="zh-CN"/>
              </w:rPr>
              <w:t>数据来源：《湖南金成设备制造有限公司年产1000吨金属结构件制造项目环评》</w:t>
            </w:r>
          </w:p>
          <w:p>
            <w:pPr>
              <w:spacing w:line="360" w:lineRule="auto"/>
              <w:ind w:firstLine="480" w:firstLineChars="200"/>
              <w:rPr>
                <w:kern w:val="0"/>
                <w:sz w:val="24"/>
                <w:lang w:val="zh-CN"/>
              </w:rPr>
            </w:pPr>
            <w:r>
              <w:rPr>
                <w:rFonts w:hint="eastAsia"/>
                <w:kern w:val="0"/>
                <w:sz w:val="24"/>
                <w:lang w:val="zh-CN"/>
              </w:rPr>
              <w:t>检测时间：2016年12月23日-24日</w:t>
            </w:r>
          </w:p>
          <w:p>
            <w:pPr>
              <w:spacing w:line="360" w:lineRule="auto"/>
              <w:ind w:firstLine="480" w:firstLineChars="200"/>
              <w:rPr>
                <w:kern w:val="0"/>
                <w:sz w:val="24"/>
                <w:lang w:val="zh-CN"/>
              </w:rPr>
            </w:pPr>
            <w:r>
              <w:rPr>
                <w:rFonts w:hint="eastAsia"/>
                <w:kern w:val="0"/>
                <w:sz w:val="24"/>
                <w:lang w:val="zh-CN"/>
              </w:rPr>
              <w:t>检测单位：湖南景翌环保检测有限公司</w:t>
            </w:r>
          </w:p>
          <w:p>
            <w:pPr>
              <w:spacing w:line="360" w:lineRule="auto"/>
              <w:ind w:firstLine="480" w:firstLineChars="200"/>
              <w:rPr>
                <w:kern w:val="0"/>
                <w:sz w:val="24"/>
                <w:lang w:val="zh-CN"/>
              </w:rPr>
            </w:pPr>
            <w:r>
              <w:rPr>
                <w:rFonts w:hint="eastAsia"/>
                <w:kern w:val="0"/>
                <w:sz w:val="24"/>
                <w:lang w:val="zh-CN"/>
              </w:rPr>
              <w:t>检测因子：</w:t>
            </w:r>
            <w:r>
              <w:rPr>
                <w:sz w:val="24"/>
              </w:rPr>
              <w:t>SO</w:t>
            </w:r>
            <w:r>
              <w:rPr>
                <w:sz w:val="24"/>
                <w:vertAlign w:val="subscript"/>
              </w:rPr>
              <w:t>2</w:t>
            </w:r>
            <w:r>
              <w:rPr>
                <w:rFonts w:hint="eastAsia"/>
                <w:sz w:val="24"/>
              </w:rPr>
              <w:t>、</w:t>
            </w:r>
            <w:r>
              <w:rPr>
                <w:sz w:val="24"/>
              </w:rPr>
              <w:t>NO</w:t>
            </w:r>
            <w:r>
              <w:rPr>
                <w:sz w:val="24"/>
                <w:vertAlign w:val="subscript"/>
              </w:rPr>
              <w:t>2</w:t>
            </w:r>
            <w:r>
              <w:rPr>
                <w:rFonts w:hint="eastAsia"/>
                <w:sz w:val="24"/>
              </w:rPr>
              <w:t>、</w:t>
            </w:r>
            <w:r>
              <w:rPr>
                <w:sz w:val="24"/>
              </w:rPr>
              <w:t>PM</w:t>
            </w:r>
            <w:r>
              <w:rPr>
                <w:rFonts w:hint="eastAsia"/>
                <w:sz w:val="24"/>
                <w:vertAlign w:val="subscript"/>
              </w:rPr>
              <w:t>10</w:t>
            </w:r>
            <w:r>
              <w:rPr>
                <w:rFonts w:hint="eastAsia"/>
                <w:sz w:val="24"/>
              </w:rPr>
              <w:t>、</w:t>
            </w:r>
            <w:r>
              <w:rPr>
                <w:sz w:val="24"/>
              </w:rPr>
              <w:t>PM</w:t>
            </w:r>
            <w:r>
              <w:rPr>
                <w:rFonts w:hint="eastAsia"/>
                <w:sz w:val="24"/>
                <w:vertAlign w:val="subscript"/>
              </w:rPr>
              <w:t>2.5</w:t>
            </w:r>
            <w:r>
              <w:rPr>
                <w:rFonts w:hint="eastAsia"/>
                <w:sz w:val="24"/>
              </w:rPr>
              <w:t>、</w:t>
            </w:r>
            <w:r>
              <w:rPr>
                <w:rFonts w:hint="eastAsia"/>
                <w:kern w:val="0"/>
                <w:sz w:val="24"/>
                <w:lang w:val="zh-CN"/>
              </w:rPr>
              <w:t>VOCs</w:t>
            </w:r>
          </w:p>
          <w:p>
            <w:pPr>
              <w:spacing w:line="360" w:lineRule="auto"/>
              <w:jc w:val="center"/>
              <w:rPr>
                <w:kern w:val="0"/>
                <w:sz w:val="24"/>
                <w:lang w:val="zh-CN"/>
              </w:rPr>
            </w:pPr>
            <w:r>
              <w:rPr>
                <w:rFonts w:ascii="宋体" w:hAnsi="宋体"/>
                <w:b/>
                <w:bCs/>
                <w:color w:val="00B050"/>
                <w:spacing w:val="-8"/>
                <w:sz w:val="28"/>
                <w:szCs w:val="28"/>
              </w:rPr>
              <w:pict>
                <v:shape id="_x0000_s3706" o:spid="_x0000_s3706" style="position:absolute;left:0pt;margin-left:206.05pt;margin-top:117.1pt;height:51.55pt;width:51.35pt;z-index:251692032;mso-width-relative:page;mso-height-relative:page;" fillcolor="#FF00FF" filled="t" stroked="t" coordsize="1027,1031" path="m63,293l371,204,689,1031,1027,931,684,0,0,105,63,293xe">
                  <v:path arrowok="t"/>
                  <v:fill on="t" opacity="19661f" focussize="0,0"/>
                  <v:stroke color="#FF00FF"/>
                  <v:imagedata o:title=""/>
                  <o:lock v:ext="edit"/>
                </v:shape>
              </w:pict>
            </w:r>
            <w:r>
              <w:rPr>
                <w:rFonts w:ascii="宋体" w:hAnsi="宋体"/>
                <w:b/>
                <w:bCs/>
                <w:color w:val="00B050"/>
                <w:spacing w:val="-8"/>
                <w:sz w:val="28"/>
                <w:szCs w:val="28"/>
              </w:rPr>
              <w:pict>
                <v:shape id="_x0000_s3643" o:spid="_x0000_s3643" o:spt="62" type="#_x0000_t62" style="position:absolute;left:0pt;margin-left:98.95pt;margin-top:79.75pt;height:27.85pt;width:124.3pt;z-index:251641856;mso-width-relative:page;mso-height-relative:page;" coordsize="21600,21600" adj="23216,35405">
                  <v:path/>
                  <v:fill focussize="0,0"/>
                  <v:stroke joinstyle="miter"/>
                  <v:imagedata o:title=""/>
                  <o:lock v:ext="edit"/>
                  <v:textbox>
                    <w:txbxContent>
                      <w:p>
                        <w:pPr>
                          <w:rPr>
                            <w:b/>
                          </w:rPr>
                        </w:pPr>
                        <w:r>
                          <w:rPr>
                            <w:rFonts w:hint="eastAsia"/>
                            <w:b/>
                          </w:rPr>
                          <w:t>项目一期工程拟建地</w:t>
                        </w:r>
                      </w:p>
                    </w:txbxContent>
                  </v:textbox>
                </v:shape>
              </w:pict>
            </w:r>
            <w:r>
              <w:rPr>
                <w:rFonts w:ascii="宋体" w:hAnsi="宋体"/>
                <w:b/>
                <w:bCs/>
                <w:color w:val="00B050"/>
                <w:spacing w:val="-8"/>
                <w:sz w:val="28"/>
                <w:szCs w:val="28"/>
              </w:rPr>
              <w:pict>
                <v:shape id="_x0000_s3645" o:spid="_x0000_s3645" o:spt="202" type="#_x0000_t202" style="position:absolute;left:0pt;margin-left:296.65pt;margin-top:210.5pt;height:21.05pt;width:29.15pt;z-index:251643904;mso-width-relative:page;mso-height-relative:page;" filled="f" stroked="f" coordsize="21600,21600">
                  <v:path/>
                  <v:fill on="f" focussize="0,0"/>
                  <v:stroke on="f" joinstyle="miter"/>
                  <v:imagedata o:title=""/>
                  <o:lock v:ext="edit"/>
                  <v:textbox>
                    <w:txbxContent>
                      <w:p>
                        <w:pPr>
                          <w:rPr>
                            <w:b/>
                          </w:rPr>
                        </w:pPr>
                        <w:r>
                          <w:rPr>
                            <w:rFonts w:hint="eastAsia"/>
                            <w:b/>
                          </w:rPr>
                          <w:t>A1</w:t>
                        </w:r>
                      </w:p>
                    </w:txbxContent>
                  </v:textbox>
                </v:shape>
              </w:pict>
            </w:r>
            <w:r>
              <w:rPr>
                <w:rFonts w:ascii="宋体" w:hAnsi="宋体"/>
                <w:b/>
                <w:bCs/>
                <w:color w:val="00B050"/>
                <w:spacing w:val="-8"/>
                <w:sz w:val="28"/>
                <w:szCs w:val="28"/>
              </w:rPr>
              <w:pict>
                <v:shape id="_x0000_s3644" o:spid="_x0000_s3644" o:spt="202" type="#_x0000_t202" style="position:absolute;left:0pt;margin-left:232.1pt;margin-top:214.7pt;height:21.05pt;width:29.15pt;z-index:251642880;mso-width-relative:page;mso-height-relative:page;" filled="f" stroked="f" coordsize="21600,21600">
                  <v:path/>
                  <v:fill on="f" focussize="0,0"/>
                  <v:stroke on="f" joinstyle="miter"/>
                  <v:imagedata o:title=""/>
                  <o:lock v:ext="edit"/>
                  <v:textbox>
                    <w:txbxContent>
                      <w:p>
                        <w:pPr>
                          <w:rPr>
                            <w:b/>
                          </w:rPr>
                        </w:pPr>
                        <w:r>
                          <w:rPr>
                            <w:rFonts w:hint="eastAsia"/>
                            <w:b/>
                          </w:rPr>
                          <w:t>A2</w:t>
                        </w:r>
                      </w:p>
                    </w:txbxContent>
                  </v:textbox>
                </v:shape>
              </w:pict>
            </w:r>
            <w:r>
              <w:rPr>
                <w:rFonts w:ascii="宋体" w:hAnsi="宋体"/>
                <w:b/>
                <w:bCs/>
                <w:color w:val="00B050"/>
                <w:spacing w:val="-8"/>
                <w:sz w:val="28"/>
                <w:szCs w:val="28"/>
              </w:rPr>
              <w:pict>
                <v:shape id="_x0000_s3642" o:spid="_x0000_s3642" o:spt="5" type="#_x0000_t5" style="position:absolute;left:0pt;margin-left:306.9pt;margin-top:227.2pt;height:7.15pt;width:9.5pt;z-index:251640832;mso-width-relative:page;mso-height-relative:page;" fillcolor="#0066FF" filled="t" coordsize="21600,21600">
                  <v:path/>
                  <v:fill on="t" focussize="0,0"/>
                  <v:stroke joinstyle="miter"/>
                  <v:imagedata o:title=""/>
                  <o:lock v:ext="edit"/>
                </v:shape>
              </w:pict>
            </w:r>
            <w:r>
              <w:rPr>
                <w:kern w:val="0"/>
                <w:sz w:val="24"/>
              </w:rPr>
              <w:pict>
                <v:shape id="_x0000_s3640" o:spid="_x0000_s3640" o:spt="5" type="#_x0000_t5" style="position:absolute;left:0pt;margin-left:253.15pt;margin-top:218.65pt;height:7.15pt;width:9.5pt;z-index:251639808;mso-width-relative:page;mso-height-relative:page;" fillcolor="#0066FF" filled="t" coordsize="21600,21600">
                  <v:path/>
                  <v:fill on="t" focussize="0,0"/>
                  <v:stroke joinstyle="miter"/>
                  <v:imagedata o:title=""/>
                  <o:lock v:ext="edit"/>
                </v:shape>
              </w:pict>
            </w:r>
            <w:r>
              <w:rPr>
                <w:rFonts w:hint="eastAsia"/>
                <w:kern w:val="0"/>
                <w:sz w:val="24"/>
              </w:rPr>
              <w:drawing>
                <wp:inline distT="0" distB="0" distL="0" distR="0">
                  <wp:extent cx="5886450" cy="4029075"/>
                  <wp:effectExtent l="19050" t="19050" r="19050" b="285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5"/>
                          <a:srcRect/>
                          <a:stretch>
                            <a:fillRect/>
                          </a:stretch>
                        </pic:blipFill>
                        <pic:spPr>
                          <a:xfrm>
                            <a:off x="0" y="0"/>
                            <a:ext cx="5886450" cy="4029075"/>
                          </a:xfrm>
                          <a:prstGeom prst="rect">
                            <a:avLst/>
                          </a:prstGeom>
                          <a:noFill/>
                          <a:ln w="19050" cmpd="sng">
                            <a:solidFill>
                              <a:srgbClr val="000000"/>
                            </a:solidFill>
                            <a:miter lim="800000"/>
                            <a:headEnd/>
                            <a:tailEnd/>
                          </a:ln>
                          <a:effectLst/>
                        </pic:spPr>
                      </pic:pic>
                    </a:graphicData>
                  </a:graphic>
                </wp:inline>
              </w:drawing>
            </w:r>
          </w:p>
          <w:p>
            <w:pPr>
              <w:snapToGrid w:val="0"/>
              <w:spacing w:afterLines="50" w:line="360" w:lineRule="auto"/>
              <w:jc w:val="center"/>
              <w:rPr>
                <w:b/>
                <w:sz w:val="24"/>
              </w:rPr>
            </w:pPr>
            <w:r>
              <w:rPr>
                <w:rFonts w:hint="eastAsia"/>
                <w:b/>
                <w:sz w:val="24"/>
              </w:rPr>
              <w:t>图3-1  项目大气检测布点示意图</w:t>
            </w:r>
          </w:p>
          <w:p>
            <w:pPr>
              <w:spacing w:line="360" w:lineRule="auto"/>
              <w:ind w:firstLine="482" w:firstLineChars="200"/>
              <w:rPr>
                <w:b/>
                <w:kern w:val="0"/>
                <w:sz w:val="24"/>
                <w:lang w:val="zh-CN"/>
              </w:rPr>
            </w:pPr>
            <w:r>
              <w:rPr>
                <w:rFonts w:hint="eastAsia"/>
                <w:b/>
                <w:kern w:val="0"/>
                <w:sz w:val="24"/>
                <w:lang w:val="zh-CN"/>
              </w:rPr>
              <w:t>（2）监测点位2（A2，项目南面883m处，具体位置见图3-1）</w:t>
            </w:r>
          </w:p>
          <w:p>
            <w:pPr>
              <w:spacing w:line="360" w:lineRule="auto"/>
              <w:ind w:firstLine="480" w:firstLineChars="200"/>
              <w:rPr>
                <w:kern w:val="0"/>
                <w:sz w:val="24"/>
                <w:lang w:val="zh-CN"/>
              </w:rPr>
            </w:pPr>
            <w:r>
              <w:rPr>
                <w:rFonts w:hint="eastAsia"/>
                <w:kern w:val="0"/>
                <w:sz w:val="24"/>
                <w:lang w:val="zh-CN"/>
              </w:rPr>
              <w:t>数据来源：《吉利新能源技改项目环评》</w:t>
            </w:r>
          </w:p>
          <w:p>
            <w:pPr>
              <w:spacing w:line="360" w:lineRule="auto"/>
              <w:ind w:firstLine="480" w:firstLineChars="200"/>
              <w:rPr>
                <w:kern w:val="0"/>
                <w:sz w:val="24"/>
                <w:lang w:val="zh-CN"/>
              </w:rPr>
            </w:pPr>
            <w:r>
              <w:rPr>
                <w:rFonts w:hint="eastAsia"/>
                <w:kern w:val="0"/>
                <w:sz w:val="24"/>
                <w:lang w:val="zh-CN"/>
              </w:rPr>
              <w:t>检测时间：2015年12月29日-2016年1月4日</w:t>
            </w:r>
          </w:p>
          <w:p>
            <w:pPr>
              <w:spacing w:line="360" w:lineRule="auto"/>
              <w:ind w:firstLine="480" w:firstLineChars="200"/>
              <w:rPr>
                <w:kern w:val="0"/>
                <w:sz w:val="24"/>
                <w:lang w:val="zh-CN"/>
              </w:rPr>
            </w:pPr>
            <w:r>
              <w:rPr>
                <w:rFonts w:hint="eastAsia"/>
                <w:kern w:val="0"/>
                <w:sz w:val="24"/>
                <w:lang w:val="zh-CN"/>
              </w:rPr>
              <w:t>检测单位：湖南中诚环境监测技术有限公司</w:t>
            </w:r>
          </w:p>
          <w:p>
            <w:pPr>
              <w:spacing w:line="360" w:lineRule="auto"/>
              <w:ind w:firstLine="480" w:firstLineChars="200"/>
              <w:rPr>
                <w:kern w:val="0"/>
                <w:sz w:val="24"/>
                <w:lang w:val="zh-CN"/>
              </w:rPr>
            </w:pPr>
            <w:r>
              <w:rPr>
                <w:rFonts w:hint="eastAsia"/>
                <w:kern w:val="0"/>
                <w:sz w:val="24"/>
                <w:lang w:val="zh-CN"/>
              </w:rPr>
              <w:t>检测因子：</w:t>
            </w:r>
            <w:r>
              <w:rPr>
                <w:sz w:val="24"/>
              </w:rPr>
              <w:t>SO</w:t>
            </w:r>
            <w:r>
              <w:rPr>
                <w:sz w:val="24"/>
                <w:vertAlign w:val="subscript"/>
              </w:rPr>
              <w:t>2</w:t>
            </w:r>
            <w:r>
              <w:rPr>
                <w:rFonts w:hint="eastAsia"/>
                <w:sz w:val="24"/>
              </w:rPr>
              <w:t>、</w:t>
            </w:r>
            <w:r>
              <w:rPr>
                <w:sz w:val="24"/>
              </w:rPr>
              <w:t>NO</w:t>
            </w:r>
            <w:r>
              <w:rPr>
                <w:sz w:val="24"/>
                <w:vertAlign w:val="subscript"/>
              </w:rPr>
              <w:t>2</w:t>
            </w:r>
            <w:r>
              <w:rPr>
                <w:rFonts w:hint="eastAsia"/>
                <w:sz w:val="24"/>
              </w:rPr>
              <w:t>、</w:t>
            </w:r>
            <w:r>
              <w:rPr>
                <w:sz w:val="24"/>
              </w:rPr>
              <w:t>PM</w:t>
            </w:r>
            <w:r>
              <w:rPr>
                <w:rFonts w:hint="eastAsia"/>
                <w:sz w:val="24"/>
                <w:vertAlign w:val="subscript"/>
              </w:rPr>
              <w:t>10</w:t>
            </w:r>
            <w:r>
              <w:rPr>
                <w:rFonts w:hint="eastAsia"/>
                <w:sz w:val="24"/>
              </w:rPr>
              <w:t>、</w:t>
            </w:r>
            <w:r>
              <w:rPr>
                <w:sz w:val="24"/>
              </w:rPr>
              <w:t>PM</w:t>
            </w:r>
            <w:r>
              <w:rPr>
                <w:rFonts w:hint="eastAsia"/>
                <w:sz w:val="24"/>
                <w:vertAlign w:val="subscript"/>
              </w:rPr>
              <w:t>2.5</w:t>
            </w:r>
            <w:r>
              <w:rPr>
                <w:rFonts w:hint="eastAsia"/>
                <w:sz w:val="24"/>
              </w:rPr>
              <w:t>、</w:t>
            </w:r>
            <w:r>
              <w:rPr>
                <w:rFonts w:hint="eastAsia"/>
                <w:kern w:val="0"/>
                <w:sz w:val="24"/>
                <w:lang w:val="zh-CN"/>
              </w:rPr>
              <w:t>VOCs、非甲烷总烃</w:t>
            </w:r>
          </w:p>
          <w:p>
            <w:pPr>
              <w:spacing w:line="360" w:lineRule="auto"/>
              <w:ind w:firstLine="480" w:firstLineChars="200"/>
              <w:rPr>
                <w:kern w:val="0"/>
                <w:sz w:val="24"/>
                <w:lang w:val="zh-CN"/>
              </w:rPr>
            </w:pPr>
            <w:r>
              <w:rPr>
                <w:rFonts w:hint="eastAsia"/>
                <w:kern w:val="0"/>
                <w:sz w:val="24"/>
                <w:lang w:val="zh-CN"/>
              </w:rPr>
              <w:t>本次引用的历史检测数据统计分析见下表：</w:t>
            </w:r>
          </w:p>
          <w:p>
            <w:pPr>
              <w:snapToGrid w:val="0"/>
              <w:spacing w:line="360" w:lineRule="auto"/>
              <w:jc w:val="center"/>
              <w:rPr>
                <w:b/>
                <w:sz w:val="24"/>
              </w:rPr>
            </w:pPr>
            <w:r>
              <w:rPr>
                <w:rFonts w:hint="eastAsia"/>
                <w:b/>
                <w:sz w:val="24"/>
              </w:rPr>
              <w:t>表3-1  环境空气质量现状监测结果统计表     （单位：</w:t>
            </w:r>
            <w:r>
              <w:rPr>
                <w:b/>
                <w:sz w:val="24"/>
              </w:rPr>
              <w:t>µ</w:t>
            </w:r>
            <w:r>
              <w:rPr>
                <w:rFonts w:hint="eastAsia"/>
                <w:b/>
                <w:sz w:val="24"/>
              </w:rPr>
              <w:t>g/m</w:t>
            </w:r>
            <w:r>
              <w:rPr>
                <w:rFonts w:hint="eastAsia"/>
                <w:b/>
                <w:sz w:val="24"/>
                <w:vertAlign w:val="superscript"/>
              </w:rPr>
              <w:t>3</w:t>
            </w:r>
            <w:r>
              <w:rPr>
                <w:rFonts w:hint="eastAsia"/>
                <w:b/>
                <w:sz w:val="24"/>
              </w:rPr>
              <w:t>）</w:t>
            </w:r>
          </w:p>
          <w:tbl>
            <w:tblPr>
              <w:tblStyle w:val="29"/>
              <w:tblW w:w="927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58"/>
              <w:gridCol w:w="1027"/>
              <w:gridCol w:w="1122"/>
              <w:gridCol w:w="1122"/>
              <w:gridCol w:w="1122"/>
              <w:gridCol w:w="1122"/>
              <w:gridCol w:w="1232"/>
              <w:gridCol w:w="136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85" w:type="dxa"/>
                  <w:gridSpan w:val="2"/>
                  <w:vAlign w:val="center"/>
                </w:tcPr>
                <w:p>
                  <w:pPr>
                    <w:autoSpaceDN w:val="0"/>
                    <w:jc w:val="center"/>
                    <w:textAlignment w:val="bottom"/>
                    <w:rPr>
                      <w:rFonts w:hAnsi="宋体"/>
                      <w:szCs w:val="21"/>
                    </w:rPr>
                  </w:pPr>
                  <w:r>
                    <w:rPr>
                      <w:rFonts w:hint="eastAsia" w:hAnsi="宋体"/>
                      <w:szCs w:val="21"/>
                    </w:rPr>
                    <w:t>项目</w:t>
                  </w:r>
                </w:p>
              </w:tc>
              <w:tc>
                <w:tcPr>
                  <w:tcW w:w="1122" w:type="dxa"/>
                  <w:vAlign w:val="center"/>
                </w:tcPr>
                <w:p>
                  <w:pPr>
                    <w:autoSpaceDN w:val="0"/>
                    <w:jc w:val="center"/>
                    <w:textAlignment w:val="bottom"/>
                    <w:rPr>
                      <w:rFonts w:hAnsi="宋体"/>
                      <w:szCs w:val="21"/>
                    </w:rPr>
                  </w:pPr>
                  <w:r>
                    <w:rPr>
                      <w:rFonts w:hAnsi="宋体"/>
                      <w:szCs w:val="21"/>
                    </w:rPr>
                    <w:t>SO</w:t>
                  </w:r>
                  <w:r>
                    <w:rPr>
                      <w:rFonts w:hAnsi="宋体"/>
                      <w:szCs w:val="21"/>
                      <w:vertAlign w:val="subscript"/>
                    </w:rPr>
                    <w:t>2</w:t>
                  </w:r>
                </w:p>
                <w:p>
                  <w:pPr>
                    <w:autoSpaceDN w:val="0"/>
                    <w:jc w:val="center"/>
                    <w:textAlignment w:val="bottom"/>
                    <w:rPr>
                      <w:rFonts w:hAnsi="宋体"/>
                      <w:szCs w:val="21"/>
                    </w:rPr>
                  </w:pPr>
                  <w:r>
                    <w:rPr>
                      <w:rFonts w:hint="eastAsia" w:hAnsi="宋体"/>
                      <w:szCs w:val="21"/>
                    </w:rPr>
                    <w:t>（24小时平均值）</w:t>
                  </w:r>
                </w:p>
              </w:tc>
              <w:tc>
                <w:tcPr>
                  <w:tcW w:w="1122" w:type="dxa"/>
                  <w:vAlign w:val="center"/>
                </w:tcPr>
                <w:p>
                  <w:pPr>
                    <w:autoSpaceDN w:val="0"/>
                    <w:jc w:val="center"/>
                    <w:textAlignment w:val="bottom"/>
                    <w:rPr>
                      <w:rFonts w:hAnsi="宋体"/>
                      <w:szCs w:val="21"/>
                    </w:rPr>
                  </w:pPr>
                  <w:r>
                    <w:rPr>
                      <w:rFonts w:hAnsi="宋体"/>
                      <w:szCs w:val="21"/>
                    </w:rPr>
                    <w:t>NO</w:t>
                  </w:r>
                  <w:r>
                    <w:rPr>
                      <w:rFonts w:hAnsi="宋体"/>
                      <w:szCs w:val="21"/>
                      <w:vertAlign w:val="subscript"/>
                    </w:rPr>
                    <w:t>2</w:t>
                  </w:r>
                </w:p>
                <w:p>
                  <w:pPr>
                    <w:autoSpaceDN w:val="0"/>
                    <w:jc w:val="center"/>
                    <w:textAlignment w:val="bottom"/>
                    <w:rPr>
                      <w:rFonts w:hAnsi="宋体"/>
                      <w:szCs w:val="21"/>
                    </w:rPr>
                  </w:pPr>
                  <w:r>
                    <w:rPr>
                      <w:rFonts w:hint="eastAsia" w:hAnsi="宋体"/>
                      <w:szCs w:val="21"/>
                    </w:rPr>
                    <w:t>（24小时平均值）</w:t>
                  </w:r>
                </w:p>
              </w:tc>
              <w:tc>
                <w:tcPr>
                  <w:tcW w:w="1122" w:type="dxa"/>
                  <w:vAlign w:val="center"/>
                </w:tcPr>
                <w:p>
                  <w:pPr>
                    <w:autoSpaceDN w:val="0"/>
                    <w:jc w:val="center"/>
                    <w:textAlignment w:val="bottom"/>
                    <w:rPr>
                      <w:rFonts w:hAnsi="宋体"/>
                      <w:szCs w:val="21"/>
                    </w:rPr>
                  </w:pPr>
                  <w:r>
                    <w:rPr>
                      <w:rFonts w:hAnsi="宋体"/>
                      <w:szCs w:val="21"/>
                    </w:rPr>
                    <w:t>PM</w:t>
                  </w:r>
                  <w:r>
                    <w:rPr>
                      <w:rFonts w:hAnsi="宋体"/>
                      <w:szCs w:val="21"/>
                      <w:vertAlign w:val="subscript"/>
                    </w:rPr>
                    <w:t>10</w:t>
                  </w:r>
                </w:p>
                <w:p>
                  <w:pPr>
                    <w:autoSpaceDN w:val="0"/>
                    <w:jc w:val="center"/>
                    <w:textAlignment w:val="bottom"/>
                    <w:rPr>
                      <w:rFonts w:hAnsi="宋体"/>
                      <w:szCs w:val="21"/>
                    </w:rPr>
                  </w:pPr>
                  <w:r>
                    <w:rPr>
                      <w:rFonts w:hint="eastAsia" w:hAnsi="宋体"/>
                      <w:szCs w:val="21"/>
                    </w:rPr>
                    <w:t>（24小时平均值）</w:t>
                  </w:r>
                </w:p>
              </w:tc>
              <w:tc>
                <w:tcPr>
                  <w:tcW w:w="1122" w:type="dxa"/>
                  <w:vAlign w:val="center"/>
                </w:tcPr>
                <w:p>
                  <w:pPr>
                    <w:autoSpaceDN w:val="0"/>
                    <w:jc w:val="center"/>
                    <w:textAlignment w:val="bottom"/>
                    <w:rPr>
                      <w:rFonts w:hAnsi="宋体"/>
                      <w:szCs w:val="21"/>
                    </w:rPr>
                  </w:pPr>
                  <w:r>
                    <w:rPr>
                      <w:rFonts w:hAnsi="宋体"/>
                      <w:szCs w:val="21"/>
                    </w:rPr>
                    <w:t>PM</w:t>
                  </w:r>
                  <w:r>
                    <w:rPr>
                      <w:rFonts w:hint="eastAsia" w:hAnsi="宋体"/>
                      <w:szCs w:val="21"/>
                      <w:vertAlign w:val="subscript"/>
                    </w:rPr>
                    <w:t>2.5</w:t>
                  </w:r>
                </w:p>
                <w:p>
                  <w:pPr>
                    <w:autoSpaceDN w:val="0"/>
                    <w:jc w:val="center"/>
                    <w:textAlignment w:val="bottom"/>
                    <w:rPr>
                      <w:rFonts w:hAnsi="宋体"/>
                      <w:szCs w:val="21"/>
                    </w:rPr>
                  </w:pPr>
                  <w:r>
                    <w:rPr>
                      <w:rFonts w:hint="eastAsia" w:hAnsi="宋体"/>
                      <w:szCs w:val="21"/>
                    </w:rPr>
                    <w:t>（24小时平均值）</w:t>
                  </w:r>
                </w:p>
              </w:tc>
              <w:tc>
                <w:tcPr>
                  <w:tcW w:w="1232" w:type="dxa"/>
                  <w:vAlign w:val="center"/>
                </w:tcPr>
                <w:p>
                  <w:pPr>
                    <w:autoSpaceDN w:val="0"/>
                    <w:jc w:val="center"/>
                    <w:textAlignment w:val="bottom"/>
                    <w:rPr>
                      <w:rFonts w:hAnsi="宋体"/>
                      <w:szCs w:val="21"/>
                      <w:vertAlign w:val="subscript"/>
                    </w:rPr>
                  </w:pPr>
                  <w:r>
                    <w:rPr>
                      <w:rFonts w:hint="eastAsia" w:hAnsi="宋体"/>
                      <w:szCs w:val="21"/>
                    </w:rPr>
                    <w:t>VOCs</w:t>
                  </w:r>
                </w:p>
                <w:p>
                  <w:pPr>
                    <w:autoSpaceDN w:val="0"/>
                    <w:jc w:val="center"/>
                    <w:textAlignment w:val="bottom"/>
                    <w:rPr>
                      <w:rFonts w:hAnsi="宋体"/>
                      <w:szCs w:val="21"/>
                    </w:rPr>
                  </w:pPr>
                  <w:r>
                    <w:rPr>
                      <w:rFonts w:hint="eastAsia" w:hAnsi="宋体"/>
                      <w:szCs w:val="21"/>
                    </w:rPr>
                    <w:t>（8小时均值）</w:t>
                  </w:r>
                </w:p>
              </w:tc>
              <w:tc>
                <w:tcPr>
                  <w:tcW w:w="1368" w:type="dxa"/>
                  <w:vAlign w:val="center"/>
                </w:tcPr>
                <w:p>
                  <w:pPr>
                    <w:autoSpaceDN w:val="0"/>
                    <w:jc w:val="center"/>
                    <w:textAlignment w:val="bottom"/>
                    <w:rPr>
                      <w:rFonts w:hAnsi="宋体"/>
                      <w:szCs w:val="21"/>
                    </w:rPr>
                  </w:pPr>
                  <w:r>
                    <w:rPr>
                      <w:rFonts w:hint="eastAsia" w:hAnsi="宋体"/>
                      <w:szCs w:val="21"/>
                    </w:rPr>
                    <w:t>非甲烷总烃（1小时平均值）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8" w:type="dxa"/>
                  <w:vMerge w:val="restart"/>
                  <w:vAlign w:val="center"/>
                </w:tcPr>
                <w:p>
                  <w:pPr>
                    <w:autoSpaceDN w:val="0"/>
                    <w:jc w:val="center"/>
                    <w:textAlignment w:val="bottom"/>
                    <w:rPr>
                      <w:rFonts w:hAnsi="宋体"/>
                      <w:szCs w:val="21"/>
                    </w:rPr>
                  </w:pPr>
                  <w:r>
                    <w:rPr>
                      <w:rFonts w:hint="eastAsia" w:hAnsi="宋体"/>
                      <w:szCs w:val="21"/>
                    </w:rPr>
                    <w:t>A1：</w:t>
                  </w:r>
                </w:p>
                <w:p>
                  <w:pPr>
                    <w:autoSpaceDN w:val="0"/>
                    <w:jc w:val="center"/>
                    <w:textAlignment w:val="bottom"/>
                    <w:rPr>
                      <w:rFonts w:hAnsi="宋体"/>
                      <w:szCs w:val="21"/>
                    </w:rPr>
                  </w:pPr>
                  <w:r>
                    <w:rPr>
                      <w:rFonts w:hint="eastAsia" w:hAnsi="宋体"/>
                      <w:szCs w:val="21"/>
                    </w:rPr>
                    <w:t>项目东南1265m处</w:t>
                  </w:r>
                </w:p>
              </w:tc>
              <w:tc>
                <w:tcPr>
                  <w:tcW w:w="1027" w:type="dxa"/>
                  <w:vAlign w:val="center"/>
                </w:tcPr>
                <w:p>
                  <w:pPr>
                    <w:autoSpaceDN w:val="0"/>
                    <w:jc w:val="center"/>
                    <w:textAlignment w:val="bottom"/>
                    <w:rPr>
                      <w:rFonts w:hAnsi="宋体"/>
                      <w:szCs w:val="21"/>
                    </w:rPr>
                  </w:pPr>
                  <w:r>
                    <w:rPr>
                      <w:rFonts w:hint="eastAsia" w:hAnsi="宋体"/>
                      <w:szCs w:val="21"/>
                    </w:rPr>
                    <w:t>浓度范围</w:t>
                  </w:r>
                </w:p>
              </w:tc>
              <w:tc>
                <w:tcPr>
                  <w:tcW w:w="1122" w:type="dxa"/>
                  <w:vAlign w:val="center"/>
                </w:tcPr>
                <w:p>
                  <w:pPr>
                    <w:autoSpaceDN w:val="0"/>
                    <w:jc w:val="center"/>
                    <w:textAlignment w:val="bottom"/>
                    <w:rPr>
                      <w:rFonts w:hAnsi="宋体"/>
                      <w:szCs w:val="21"/>
                    </w:rPr>
                  </w:pPr>
                  <w:r>
                    <w:rPr>
                      <w:rFonts w:hint="eastAsia" w:hAnsi="宋体"/>
                      <w:szCs w:val="21"/>
                    </w:rPr>
                    <w:t>9~12</w:t>
                  </w:r>
                </w:p>
              </w:tc>
              <w:tc>
                <w:tcPr>
                  <w:tcW w:w="1122" w:type="dxa"/>
                  <w:vAlign w:val="center"/>
                </w:tcPr>
                <w:p>
                  <w:pPr>
                    <w:autoSpaceDN w:val="0"/>
                    <w:jc w:val="center"/>
                    <w:textAlignment w:val="bottom"/>
                    <w:rPr>
                      <w:rFonts w:hAnsi="宋体"/>
                      <w:szCs w:val="21"/>
                    </w:rPr>
                  </w:pPr>
                  <w:r>
                    <w:rPr>
                      <w:rFonts w:hint="eastAsia" w:hAnsi="宋体"/>
                      <w:szCs w:val="21"/>
                    </w:rPr>
                    <w:t>34~35</w:t>
                  </w:r>
                </w:p>
              </w:tc>
              <w:tc>
                <w:tcPr>
                  <w:tcW w:w="1122" w:type="dxa"/>
                  <w:vAlign w:val="center"/>
                </w:tcPr>
                <w:p>
                  <w:pPr>
                    <w:autoSpaceDN w:val="0"/>
                    <w:jc w:val="center"/>
                    <w:textAlignment w:val="bottom"/>
                    <w:rPr>
                      <w:rFonts w:hAnsi="宋体"/>
                      <w:szCs w:val="21"/>
                    </w:rPr>
                  </w:pPr>
                  <w:r>
                    <w:rPr>
                      <w:rFonts w:hint="eastAsia" w:hAnsi="宋体"/>
                      <w:szCs w:val="21"/>
                    </w:rPr>
                    <w:t>29~32</w:t>
                  </w:r>
                </w:p>
              </w:tc>
              <w:tc>
                <w:tcPr>
                  <w:tcW w:w="1122" w:type="dxa"/>
                  <w:vAlign w:val="center"/>
                </w:tcPr>
                <w:p>
                  <w:pPr>
                    <w:autoSpaceDN w:val="0"/>
                    <w:jc w:val="center"/>
                    <w:textAlignment w:val="bottom"/>
                    <w:rPr>
                      <w:rFonts w:hAnsi="宋体"/>
                      <w:szCs w:val="21"/>
                    </w:rPr>
                  </w:pPr>
                  <w:r>
                    <w:rPr>
                      <w:rFonts w:hint="eastAsia" w:hAnsi="宋体"/>
                      <w:szCs w:val="21"/>
                    </w:rPr>
                    <w:t>20~23</w:t>
                  </w:r>
                </w:p>
              </w:tc>
              <w:tc>
                <w:tcPr>
                  <w:tcW w:w="1232" w:type="dxa"/>
                  <w:vAlign w:val="center"/>
                </w:tcPr>
                <w:p>
                  <w:pPr>
                    <w:autoSpaceDN w:val="0"/>
                    <w:jc w:val="center"/>
                    <w:textAlignment w:val="bottom"/>
                    <w:rPr>
                      <w:rFonts w:hAnsi="宋体"/>
                      <w:szCs w:val="21"/>
                    </w:rPr>
                  </w:pPr>
                  <w:r>
                    <w:rPr>
                      <w:rFonts w:hint="eastAsia" w:hAnsi="宋体"/>
                      <w:szCs w:val="21"/>
                    </w:rPr>
                    <w:t>0.0015L</w:t>
                  </w:r>
                </w:p>
              </w:tc>
              <w:tc>
                <w:tcPr>
                  <w:tcW w:w="1368" w:type="dxa"/>
                  <w:vAlign w:val="center"/>
                </w:tcPr>
                <w:p>
                  <w:pPr>
                    <w:autoSpaceDN w:val="0"/>
                    <w:jc w:val="center"/>
                    <w:textAlignment w:val="bottom"/>
                    <w:rPr>
                      <w:rFonts w:hAnsi="宋体"/>
                      <w:szCs w:val="21"/>
                    </w:rPr>
                  </w:pPr>
                  <w:r>
                    <w:rPr>
                      <w:rFonts w:hint="eastAsia"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8" w:type="dxa"/>
                  <w:vMerge w:val="continue"/>
                  <w:vAlign w:val="center"/>
                </w:tcPr>
                <w:p>
                  <w:pPr>
                    <w:autoSpaceDN w:val="0"/>
                    <w:jc w:val="center"/>
                    <w:textAlignment w:val="bottom"/>
                    <w:rPr>
                      <w:rFonts w:hAnsi="宋体"/>
                      <w:szCs w:val="21"/>
                    </w:rPr>
                  </w:pPr>
                </w:p>
              </w:tc>
              <w:tc>
                <w:tcPr>
                  <w:tcW w:w="1027" w:type="dxa"/>
                  <w:vAlign w:val="center"/>
                </w:tcPr>
                <w:p>
                  <w:pPr>
                    <w:autoSpaceDN w:val="0"/>
                    <w:jc w:val="center"/>
                    <w:textAlignment w:val="bottom"/>
                    <w:rPr>
                      <w:rFonts w:hAnsi="宋体"/>
                      <w:szCs w:val="21"/>
                    </w:rPr>
                  </w:pPr>
                  <w:r>
                    <w:rPr>
                      <w:rFonts w:hint="eastAsia" w:hAnsi="宋体"/>
                      <w:szCs w:val="21"/>
                    </w:rPr>
                    <w:t>平均值</w:t>
                  </w:r>
                </w:p>
              </w:tc>
              <w:tc>
                <w:tcPr>
                  <w:tcW w:w="1122" w:type="dxa"/>
                  <w:vAlign w:val="center"/>
                </w:tcPr>
                <w:p>
                  <w:pPr>
                    <w:autoSpaceDN w:val="0"/>
                    <w:jc w:val="center"/>
                    <w:textAlignment w:val="bottom"/>
                    <w:rPr>
                      <w:rFonts w:hAnsi="宋体"/>
                      <w:szCs w:val="21"/>
                    </w:rPr>
                  </w:pPr>
                  <w:r>
                    <w:rPr>
                      <w:rFonts w:hint="eastAsia" w:hAnsi="宋体"/>
                      <w:szCs w:val="21"/>
                    </w:rPr>
                    <w:t>10.5</w:t>
                  </w:r>
                </w:p>
              </w:tc>
              <w:tc>
                <w:tcPr>
                  <w:tcW w:w="1122" w:type="dxa"/>
                  <w:vAlign w:val="center"/>
                </w:tcPr>
                <w:p>
                  <w:pPr>
                    <w:autoSpaceDN w:val="0"/>
                    <w:jc w:val="center"/>
                    <w:textAlignment w:val="bottom"/>
                    <w:rPr>
                      <w:rFonts w:hAnsi="宋体"/>
                      <w:szCs w:val="21"/>
                    </w:rPr>
                  </w:pPr>
                  <w:r>
                    <w:rPr>
                      <w:rFonts w:hint="eastAsia" w:hAnsi="宋体"/>
                      <w:szCs w:val="21"/>
                    </w:rPr>
                    <w:t>34.5</w:t>
                  </w:r>
                </w:p>
              </w:tc>
              <w:tc>
                <w:tcPr>
                  <w:tcW w:w="1122" w:type="dxa"/>
                  <w:vAlign w:val="center"/>
                </w:tcPr>
                <w:p>
                  <w:pPr>
                    <w:autoSpaceDN w:val="0"/>
                    <w:jc w:val="center"/>
                    <w:textAlignment w:val="bottom"/>
                    <w:rPr>
                      <w:rFonts w:hAnsi="宋体"/>
                      <w:szCs w:val="21"/>
                    </w:rPr>
                  </w:pPr>
                  <w:r>
                    <w:rPr>
                      <w:rFonts w:hint="eastAsia" w:hAnsi="宋体"/>
                      <w:szCs w:val="21"/>
                    </w:rPr>
                    <w:t>30.5</w:t>
                  </w:r>
                </w:p>
              </w:tc>
              <w:tc>
                <w:tcPr>
                  <w:tcW w:w="1122" w:type="dxa"/>
                  <w:vAlign w:val="center"/>
                </w:tcPr>
                <w:p>
                  <w:pPr>
                    <w:autoSpaceDN w:val="0"/>
                    <w:jc w:val="center"/>
                    <w:textAlignment w:val="bottom"/>
                    <w:rPr>
                      <w:rFonts w:hAnsi="宋体"/>
                      <w:szCs w:val="21"/>
                    </w:rPr>
                  </w:pPr>
                  <w:r>
                    <w:rPr>
                      <w:rFonts w:hint="eastAsia" w:hAnsi="宋体"/>
                      <w:szCs w:val="21"/>
                    </w:rPr>
                    <w:t>21.5</w:t>
                  </w:r>
                </w:p>
              </w:tc>
              <w:tc>
                <w:tcPr>
                  <w:tcW w:w="1232" w:type="dxa"/>
                  <w:vAlign w:val="center"/>
                </w:tcPr>
                <w:p>
                  <w:pPr>
                    <w:autoSpaceDN w:val="0"/>
                    <w:jc w:val="center"/>
                    <w:textAlignment w:val="bottom"/>
                    <w:rPr>
                      <w:rFonts w:hAnsi="宋体"/>
                      <w:szCs w:val="21"/>
                    </w:rPr>
                  </w:pPr>
                  <w:r>
                    <w:rPr>
                      <w:rFonts w:hint="eastAsia" w:hAnsi="宋体"/>
                      <w:szCs w:val="21"/>
                    </w:rPr>
                    <w:t>/</w:t>
                  </w:r>
                </w:p>
              </w:tc>
              <w:tc>
                <w:tcPr>
                  <w:tcW w:w="1368" w:type="dxa"/>
                  <w:vAlign w:val="center"/>
                </w:tcPr>
                <w:p>
                  <w:pPr>
                    <w:autoSpaceDN w:val="0"/>
                    <w:jc w:val="center"/>
                    <w:textAlignment w:val="bottom"/>
                    <w:rPr>
                      <w:rFonts w:hAnsi="宋体"/>
                      <w:szCs w:val="21"/>
                    </w:rPr>
                  </w:pPr>
                  <w:r>
                    <w:rPr>
                      <w:rFonts w:hint="eastAsia"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8" w:type="dxa"/>
                  <w:vMerge w:val="continue"/>
                  <w:vAlign w:val="center"/>
                </w:tcPr>
                <w:p>
                  <w:pPr>
                    <w:autoSpaceDN w:val="0"/>
                    <w:jc w:val="center"/>
                    <w:textAlignment w:val="bottom"/>
                    <w:rPr>
                      <w:rFonts w:hAnsi="宋体"/>
                      <w:szCs w:val="21"/>
                    </w:rPr>
                  </w:pPr>
                </w:p>
              </w:tc>
              <w:tc>
                <w:tcPr>
                  <w:tcW w:w="1027" w:type="dxa"/>
                  <w:vAlign w:val="center"/>
                </w:tcPr>
                <w:p>
                  <w:pPr>
                    <w:autoSpaceDN w:val="0"/>
                    <w:jc w:val="center"/>
                    <w:textAlignment w:val="bottom"/>
                    <w:rPr>
                      <w:rFonts w:hAnsi="宋体"/>
                      <w:szCs w:val="21"/>
                    </w:rPr>
                  </w:pPr>
                  <w:r>
                    <w:rPr>
                      <w:rFonts w:hint="eastAsia" w:hAnsi="宋体"/>
                      <w:szCs w:val="21"/>
                    </w:rPr>
                    <w:t>超标率（%）</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232" w:type="dxa"/>
                  <w:vAlign w:val="center"/>
                </w:tcPr>
                <w:p>
                  <w:pPr>
                    <w:autoSpaceDN w:val="0"/>
                    <w:jc w:val="center"/>
                    <w:textAlignment w:val="bottom"/>
                    <w:rPr>
                      <w:rFonts w:hAnsi="宋体"/>
                      <w:szCs w:val="21"/>
                    </w:rPr>
                  </w:pPr>
                  <w:r>
                    <w:rPr>
                      <w:rFonts w:hint="eastAsia" w:hAnsi="宋体"/>
                      <w:szCs w:val="21"/>
                    </w:rPr>
                    <w:t>0</w:t>
                  </w:r>
                </w:p>
              </w:tc>
              <w:tc>
                <w:tcPr>
                  <w:tcW w:w="1368" w:type="dxa"/>
                  <w:vAlign w:val="center"/>
                </w:tcPr>
                <w:p>
                  <w:pPr>
                    <w:autoSpaceDN w:val="0"/>
                    <w:jc w:val="center"/>
                    <w:textAlignment w:val="bottom"/>
                    <w:rPr>
                      <w:rFonts w:hAnsi="宋体"/>
                      <w:szCs w:val="21"/>
                    </w:rPr>
                  </w:pPr>
                  <w:r>
                    <w:rPr>
                      <w:rFonts w:hint="eastAsia"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8" w:type="dxa"/>
                  <w:vMerge w:val="continue"/>
                  <w:vAlign w:val="center"/>
                </w:tcPr>
                <w:p>
                  <w:pPr>
                    <w:autoSpaceDN w:val="0"/>
                    <w:jc w:val="center"/>
                    <w:textAlignment w:val="bottom"/>
                    <w:rPr>
                      <w:rFonts w:hAnsi="宋体"/>
                      <w:szCs w:val="21"/>
                    </w:rPr>
                  </w:pPr>
                </w:p>
              </w:tc>
              <w:tc>
                <w:tcPr>
                  <w:tcW w:w="1027" w:type="dxa"/>
                  <w:vAlign w:val="center"/>
                </w:tcPr>
                <w:p>
                  <w:pPr>
                    <w:autoSpaceDN w:val="0"/>
                    <w:jc w:val="center"/>
                    <w:textAlignment w:val="bottom"/>
                    <w:rPr>
                      <w:rFonts w:hAnsi="宋体"/>
                      <w:szCs w:val="21"/>
                    </w:rPr>
                  </w:pPr>
                  <w:r>
                    <w:rPr>
                      <w:rFonts w:hint="eastAsia" w:hAnsi="宋体"/>
                      <w:szCs w:val="21"/>
                    </w:rPr>
                    <w:t>最大超标倍数</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232" w:type="dxa"/>
                  <w:vAlign w:val="center"/>
                </w:tcPr>
                <w:p>
                  <w:pPr>
                    <w:autoSpaceDN w:val="0"/>
                    <w:jc w:val="center"/>
                    <w:textAlignment w:val="bottom"/>
                    <w:rPr>
                      <w:rFonts w:hAnsi="宋体"/>
                      <w:szCs w:val="21"/>
                    </w:rPr>
                  </w:pPr>
                  <w:r>
                    <w:rPr>
                      <w:rFonts w:hint="eastAsia" w:hAnsi="宋体"/>
                      <w:szCs w:val="21"/>
                    </w:rPr>
                    <w:t>0</w:t>
                  </w:r>
                </w:p>
              </w:tc>
              <w:tc>
                <w:tcPr>
                  <w:tcW w:w="1368" w:type="dxa"/>
                  <w:vAlign w:val="center"/>
                </w:tcPr>
                <w:p>
                  <w:pPr>
                    <w:autoSpaceDN w:val="0"/>
                    <w:jc w:val="center"/>
                    <w:textAlignment w:val="bottom"/>
                    <w:rPr>
                      <w:rFonts w:hAnsi="宋体"/>
                      <w:szCs w:val="21"/>
                    </w:rPr>
                  </w:pPr>
                  <w:r>
                    <w:rPr>
                      <w:rFonts w:hint="eastAsia"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85" w:type="dxa"/>
                  <w:gridSpan w:val="2"/>
                  <w:vAlign w:val="center"/>
                </w:tcPr>
                <w:p>
                  <w:pPr>
                    <w:autoSpaceDN w:val="0"/>
                    <w:jc w:val="center"/>
                    <w:textAlignment w:val="bottom"/>
                    <w:rPr>
                      <w:rFonts w:hAnsi="宋体"/>
                      <w:szCs w:val="21"/>
                    </w:rPr>
                  </w:pPr>
                  <w:r>
                    <w:rPr>
                      <w:rFonts w:hint="eastAsia" w:hAnsi="宋体"/>
                      <w:szCs w:val="21"/>
                    </w:rPr>
                    <w:t>评价标准</w:t>
                  </w:r>
                </w:p>
              </w:tc>
              <w:tc>
                <w:tcPr>
                  <w:tcW w:w="1122" w:type="dxa"/>
                  <w:vAlign w:val="center"/>
                </w:tcPr>
                <w:p>
                  <w:pPr>
                    <w:autoSpaceDN w:val="0"/>
                    <w:jc w:val="center"/>
                    <w:textAlignment w:val="bottom"/>
                    <w:rPr>
                      <w:rFonts w:hAnsi="宋体"/>
                      <w:szCs w:val="21"/>
                    </w:rPr>
                  </w:pPr>
                  <w:r>
                    <w:rPr>
                      <w:rFonts w:hint="eastAsia" w:hAnsi="宋体"/>
                      <w:szCs w:val="21"/>
                    </w:rPr>
                    <w:t>150</w:t>
                  </w:r>
                </w:p>
              </w:tc>
              <w:tc>
                <w:tcPr>
                  <w:tcW w:w="1122" w:type="dxa"/>
                  <w:vAlign w:val="center"/>
                </w:tcPr>
                <w:p>
                  <w:pPr>
                    <w:autoSpaceDN w:val="0"/>
                    <w:jc w:val="center"/>
                    <w:textAlignment w:val="bottom"/>
                    <w:rPr>
                      <w:rFonts w:hAnsi="宋体"/>
                      <w:szCs w:val="21"/>
                    </w:rPr>
                  </w:pPr>
                  <w:r>
                    <w:rPr>
                      <w:rFonts w:hint="eastAsia" w:hAnsi="宋体"/>
                      <w:szCs w:val="21"/>
                    </w:rPr>
                    <w:t>80</w:t>
                  </w:r>
                </w:p>
              </w:tc>
              <w:tc>
                <w:tcPr>
                  <w:tcW w:w="1122" w:type="dxa"/>
                  <w:vAlign w:val="center"/>
                </w:tcPr>
                <w:p>
                  <w:pPr>
                    <w:autoSpaceDN w:val="0"/>
                    <w:jc w:val="center"/>
                    <w:textAlignment w:val="bottom"/>
                    <w:rPr>
                      <w:rFonts w:hAnsi="宋体"/>
                      <w:szCs w:val="21"/>
                    </w:rPr>
                  </w:pPr>
                  <w:r>
                    <w:rPr>
                      <w:rFonts w:hint="eastAsia" w:hAnsi="宋体"/>
                      <w:szCs w:val="21"/>
                    </w:rPr>
                    <w:t>150</w:t>
                  </w:r>
                </w:p>
              </w:tc>
              <w:tc>
                <w:tcPr>
                  <w:tcW w:w="1122" w:type="dxa"/>
                  <w:vAlign w:val="center"/>
                </w:tcPr>
                <w:p>
                  <w:pPr>
                    <w:autoSpaceDN w:val="0"/>
                    <w:jc w:val="center"/>
                    <w:textAlignment w:val="bottom"/>
                    <w:rPr>
                      <w:rFonts w:hAnsi="宋体"/>
                      <w:szCs w:val="21"/>
                    </w:rPr>
                  </w:pPr>
                  <w:r>
                    <w:rPr>
                      <w:rFonts w:hint="eastAsia" w:hAnsi="宋体"/>
                      <w:szCs w:val="21"/>
                    </w:rPr>
                    <w:t>75</w:t>
                  </w:r>
                </w:p>
              </w:tc>
              <w:tc>
                <w:tcPr>
                  <w:tcW w:w="1232" w:type="dxa"/>
                  <w:vAlign w:val="center"/>
                </w:tcPr>
                <w:p>
                  <w:pPr>
                    <w:autoSpaceDN w:val="0"/>
                    <w:jc w:val="center"/>
                    <w:textAlignment w:val="bottom"/>
                    <w:rPr>
                      <w:rFonts w:hAnsi="宋体"/>
                      <w:szCs w:val="21"/>
                    </w:rPr>
                  </w:pPr>
                  <w:r>
                    <w:rPr>
                      <w:rFonts w:hint="eastAsia" w:hAnsi="宋体"/>
                      <w:szCs w:val="21"/>
                    </w:rPr>
                    <w:t>600</w:t>
                  </w:r>
                </w:p>
              </w:tc>
              <w:tc>
                <w:tcPr>
                  <w:tcW w:w="1368" w:type="dxa"/>
                  <w:vAlign w:val="center"/>
                </w:tcPr>
                <w:p>
                  <w:pPr>
                    <w:autoSpaceDN w:val="0"/>
                    <w:jc w:val="center"/>
                    <w:textAlignment w:val="bottom"/>
                    <w:rPr>
                      <w:rFonts w:hAnsi="宋体"/>
                      <w:szCs w:val="21"/>
                    </w:rPr>
                  </w:pPr>
                  <w:r>
                    <w:rPr>
                      <w:rFonts w:hint="eastAsia" w:hAnsi="宋体"/>
                      <w:szCs w:val="21"/>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85" w:type="dxa"/>
                  <w:gridSpan w:val="2"/>
                  <w:vAlign w:val="center"/>
                </w:tcPr>
                <w:p>
                  <w:pPr>
                    <w:autoSpaceDN w:val="0"/>
                    <w:jc w:val="center"/>
                    <w:textAlignment w:val="bottom"/>
                    <w:rPr>
                      <w:rFonts w:hAnsi="宋体"/>
                      <w:szCs w:val="21"/>
                    </w:rPr>
                  </w:pPr>
                  <w:r>
                    <w:rPr>
                      <w:rFonts w:hint="eastAsia" w:hAnsi="宋体"/>
                      <w:szCs w:val="21"/>
                    </w:rPr>
                    <w:t>项目</w:t>
                  </w:r>
                </w:p>
              </w:tc>
              <w:tc>
                <w:tcPr>
                  <w:tcW w:w="1122" w:type="dxa"/>
                  <w:vAlign w:val="center"/>
                </w:tcPr>
                <w:p>
                  <w:pPr>
                    <w:autoSpaceDN w:val="0"/>
                    <w:jc w:val="center"/>
                    <w:textAlignment w:val="bottom"/>
                    <w:rPr>
                      <w:rFonts w:hAnsi="宋体"/>
                      <w:szCs w:val="21"/>
                    </w:rPr>
                  </w:pPr>
                  <w:r>
                    <w:rPr>
                      <w:rFonts w:hAnsi="宋体"/>
                      <w:szCs w:val="21"/>
                    </w:rPr>
                    <w:t>SO</w:t>
                  </w:r>
                  <w:r>
                    <w:rPr>
                      <w:rFonts w:hAnsi="宋体"/>
                      <w:szCs w:val="21"/>
                      <w:vertAlign w:val="subscript"/>
                    </w:rPr>
                    <w:t>2</w:t>
                  </w:r>
                </w:p>
                <w:p>
                  <w:pPr>
                    <w:autoSpaceDN w:val="0"/>
                    <w:jc w:val="center"/>
                    <w:textAlignment w:val="bottom"/>
                    <w:rPr>
                      <w:rFonts w:hAnsi="宋体"/>
                      <w:szCs w:val="21"/>
                    </w:rPr>
                  </w:pPr>
                  <w:r>
                    <w:rPr>
                      <w:rFonts w:hint="eastAsia" w:hAnsi="宋体"/>
                      <w:szCs w:val="21"/>
                    </w:rPr>
                    <w:t>（24小时平均值）</w:t>
                  </w:r>
                </w:p>
              </w:tc>
              <w:tc>
                <w:tcPr>
                  <w:tcW w:w="1122" w:type="dxa"/>
                  <w:vAlign w:val="center"/>
                </w:tcPr>
                <w:p>
                  <w:pPr>
                    <w:autoSpaceDN w:val="0"/>
                    <w:jc w:val="center"/>
                    <w:textAlignment w:val="bottom"/>
                    <w:rPr>
                      <w:rFonts w:hAnsi="宋体"/>
                      <w:szCs w:val="21"/>
                    </w:rPr>
                  </w:pPr>
                  <w:r>
                    <w:rPr>
                      <w:rFonts w:hAnsi="宋体"/>
                      <w:szCs w:val="21"/>
                    </w:rPr>
                    <w:t>NO</w:t>
                  </w:r>
                  <w:r>
                    <w:rPr>
                      <w:rFonts w:hAnsi="宋体"/>
                      <w:szCs w:val="21"/>
                      <w:vertAlign w:val="subscript"/>
                    </w:rPr>
                    <w:t>2</w:t>
                  </w:r>
                </w:p>
                <w:p>
                  <w:pPr>
                    <w:autoSpaceDN w:val="0"/>
                    <w:jc w:val="center"/>
                    <w:textAlignment w:val="bottom"/>
                    <w:rPr>
                      <w:rFonts w:hAnsi="宋体"/>
                      <w:szCs w:val="21"/>
                    </w:rPr>
                  </w:pPr>
                  <w:r>
                    <w:rPr>
                      <w:rFonts w:hint="eastAsia" w:hAnsi="宋体"/>
                      <w:szCs w:val="21"/>
                    </w:rPr>
                    <w:t>（24小时平均值）</w:t>
                  </w:r>
                </w:p>
              </w:tc>
              <w:tc>
                <w:tcPr>
                  <w:tcW w:w="1122" w:type="dxa"/>
                  <w:vAlign w:val="center"/>
                </w:tcPr>
                <w:p>
                  <w:pPr>
                    <w:autoSpaceDN w:val="0"/>
                    <w:jc w:val="center"/>
                    <w:textAlignment w:val="bottom"/>
                    <w:rPr>
                      <w:rFonts w:hAnsi="宋体"/>
                      <w:szCs w:val="21"/>
                    </w:rPr>
                  </w:pPr>
                  <w:r>
                    <w:rPr>
                      <w:rFonts w:hAnsi="宋体"/>
                      <w:szCs w:val="21"/>
                    </w:rPr>
                    <w:t>PM</w:t>
                  </w:r>
                  <w:r>
                    <w:rPr>
                      <w:rFonts w:hAnsi="宋体"/>
                      <w:szCs w:val="21"/>
                      <w:vertAlign w:val="subscript"/>
                    </w:rPr>
                    <w:t>10</w:t>
                  </w:r>
                </w:p>
                <w:p>
                  <w:pPr>
                    <w:autoSpaceDN w:val="0"/>
                    <w:jc w:val="center"/>
                    <w:textAlignment w:val="bottom"/>
                    <w:rPr>
                      <w:rFonts w:hAnsi="宋体"/>
                      <w:szCs w:val="21"/>
                    </w:rPr>
                  </w:pPr>
                  <w:r>
                    <w:rPr>
                      <w:rFonts w:hint="eastAsia" w:hAnsi="宋体"/>
                      <w:szCs w:val="21"/>
                    </w:rPr>
                    <w:t>（24小时平均值）</w:t>
                  </w:r>
                </w:p>
              </w:tc>
              <w:tc>
                <w:tcPr>
                  <w:tcW w:w="1122" w:type="dxa"/>
                  <w:vAlign w:val="center"/>
                </w:tcPr>
                <w:p>
                  <w:pPr>
                    <w:autoSpaceDN w:val="0"/>
                    <w:jc w:val="center"/>
                    <w:textAlignment w:val="bottom"/>
                    <w:rPr>
                      <w:rFonts w:hAnsi="宋体"/>
                      <w:szCs w:val="21"/>
                    </w:rPr>
                  </w:pPr>
                  <w:r>
                    <w:rPr>
                      <w:rFonts w:hAnsi="宋体"/>
                      <w:szCs w:val="21"/>
                    </w:rPr>
                    <w:t>PM</w:t>
                  </w:r>
                  <w:r>
                    <w:rPr>
                      <w:rFonts w:hint="eastAsia" w:hAnsi="宋体"/>
                      <w:szCs w:val="21"/>
                      <w:vertAlign w:val="subscript"/>
                    </w:rPr>
                    <w:t>2.5</w:t>
                  </w:r>
                </w:p>
                <w:p>
                  <w:pPr>
                    <w:autoSpaceDN w:val="0"/>
                    <w:jc w:val="center"/>
                    <w:textAlignment w:val="bottom"/>
                    <w:rPr>
                      <w:rFonts w:hAnsi="宋体"/>
                      <w:szCs w:val="21"/>
                    </w:rPr>
                  </w:pPr>
                  <w:r>
                    <w:rPr>
                      <w:rFonts w:hint="eastAsia" w:hAnsi="宋体"/>
                      <w:szCs w:val="21"/>
                    </w:rPr>
                    <w:t>（24小时平均值）</w:t>
                  </w:r>
                </w:p>
              </w:tc>
              <w:tc>
                <w:tcPr>
                  <w:tcW w:w="1232" w:type="dxa"/>
                  <w:vAlign w:val="center"/>
                </w:tcPr>
                <w:p>
                  <w:pPr>
                    <w:autoSpaceDN w:val="0"/>
                    <w:jc w:val="center"/>
                    <w:textAlignment w:val="bottom"/>
                    <w:rPr>
                      <w:rFonts w:hAnsi="宋体"/>
                      <w:szCs w:val="21"/>
                    </w:rPr>
                  </w:pPr>
                  <w:r>
                    <w:rPr>
                      <w:rFonts w:hint="eastAsia" w:hAnsi="宋体"/>
                      <w:szCs w:val="21"/>
                    </w:rPr>
                    <w:t>VOCs</w:t>
                  </w:r>
                </w:p>
                <w:p>
                  <w:pPr>
                    <w:autoSpaceDN w:val="0"/>
                    <w:jc w:val="center"/>
                    <w:textAlignment w:val="bottom"/>
                    <w:rPr>
                      <w:rFonts w:hAnsi="宋体"/>
                      <w:szCs w:val="21"/>
                    </w:rPr>
                  </w:pPr>
                  <w:r>
                    <w:rPr>
                      <w:rFonts w:hint="eastAsia" w:hAnsi="宋体"/>
                      <w:szCs w:val="21"/>
                    </w:rPr>
                    <w:t>（8小时均值）</w:t>
                  </w:r>
                </w:p>
              </w:tc>
              <w:tc>
                <w:tcPr>
                  <w:tcW w:w="1368" w:type="dxa"/>
                  <w:vAlign w:val="center"/>
                </w:tcPr>
                <w:p>
                  <w:pPr>
                    <w:autoSpaceDN w:val="0"/>
                    <w:jc w:val="center"/>
                    <w:textAlignment w:val="bottom"/>
                    <w:rPr>
                      <w:rFonts w:hAnsi="宋体"/>
                      <w:szCs w:val="21"/>
                    </w:rPr>
                  </w:pPr>
                  <w:r>
                    <w:rPr>
                      <w:rFonts w:hint="eastAsia" w:hAnsi="宋体"/>
                      <w:szCs w:val="21"/>
                    </w:rPr>
                    <w:t>非甲烷总烃（1小时平均值）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8" w:type="dxa"/>
                  <w:vMerge w:val="restart"/>
                  <w:vAlign w:val="center"/>
                </w:tcPr>
                <w:p>
                  <w:pPr>
                    <w:autoSpaceDN w:val="0"/>
                    <w:jc w:val="center"/>
                    <w:textAlignment w:val="bottom"/>
                    <w:rPr>
                      <w:rFonts w:hAnsi="宋体"/>
                      <w:szCs w:val="21"/>
                    </w:rPr>
                  </w:pPr>
                  <w:r>
                    <w:rPr>
                      <w:rFonts w:hint="eastAsia" w:hAnsi="宋体"/>
                      <w:szCs w:val="21"/>
                    </w:rPr>
                    <w:t>A2：</w:t>
                  </w:r>
                </w:p>
                <w:p>
                  <w:pPr>
                    <w:autoSpaceDN w:val="0"/>
                    <w:jc w:val="center"/>
                    <w:textAlignment w:val="bottom"/>
                    <w:rPr>
                      <w:rFonts w:hAnsi="宋体"/>
                      <w:szCs w:val="21"/>
                    </w:rPr>
                  </w:pPr>
                  <w:r>
                    <w:rPr>
                      <w:rFonts w:hint="eastAsia" w:hAnsi="宋体"/>
                      <w:szCs w:val="21"/>
                    </w:rPr>
                    <w:t>项目南面883m处</w:t>
                  </w:r>
                </w:p>
              </w:tc>
              <w:tc>
                <w:tcPr>
                  <w:tcW w:w="1027" w:type="dxa"/>
                  <w:vAlign w:val="center"/>
                </w:tcPr>
                <w:p>
                  <w:pPr>
                    <w:autoSpaceDN w:val="0"/>
                    <w:jc w:val="center"/>
                    <w:textAlignment w:val="bottom"/>
                    <w:rPr>
                      <w:rFonts w:hAnsi="宋体"/>
                      <w:szCs w:val="21"/>
                    </w:rPr>
                  </w:pPr>
                  <w:r>
                    <w:rPr>
                      <w:rFonts w:hint="eastAsia" w:hAnsi="宋体"/>
                      <w:szCs w:val="21"/>
                    </w:rPr>
                    <w:t>浓度范围</w:t>
                  </w:r>
                </w:p>
              </w:tc>
              <w:tc>
                <w:tcPr>
                  <w:tcW w:w="1122" w:type="dxa"/>
                  <w:vAlign w:val="center"/>
                </w:tcPr>
                <w:p>
                  <w:pPr>
                    <w:autoSpaceDN w:val="0"/>
                    <w:jc w:val="center"/>
                    <w:textAlignment w:val="bottom"/>
                    <w:rPr>
                      <w:rFonts w:hAnsi="宋体"/>
                      <w:szCs w:val="21"/>
                    </w:rPr>
                  </w:pPr>
                  <w:r>
                    <w:rPr>
                      <w:rFonts w:hint="eastAsia" w:hAnsi="宋体"/>
                      <w:szCs w:val="21"/>
                    </w:rPr>
                    <w:t>51~61</w:t>
                  </w:r>
                </w:p>
              </w:tc>
              <w:tc>
                <w:tcPr>
                  <w:tcW w:w="1122" w:type="dxa"/>
                  <w:vAlign w:val="center"/>
                </w:tcPr>
                <w:p>
                  <w:pPr>
                    <w:autoSpaceDN w:val="0"/>
                    <w:jc w:val="center"/>
                    <w:textAlignment w:val="bottom"/>
                    <w:rPr>
                      <w:rFonts w:hAnsi="宋体"/>
                      <w:szCs w:val="21"/>
                    </w:rPr>
                  </w:pPr>
                  <w:r>
                    <w:rPr>
                      <w:rFonts w:hint="eastAsia" w:hAnsi="宋体"/>
                      <w:szCs w:val="21"/>
                    </w:rPr>
                    <w:t>29~35</w:t>
                  </w:r>
                </w:p>
              </w:tc>
              <w:tc>
                <w:tcPr>
                  <w:tcW w:w="1122" w:type="dxa"/>
                  <w:vAlign w:val="center"/>
                </w:tcPr>
                <w:p>
                  <w:pPr>
                    <w:autoSpaceDN w:val="0"/>
                    <w:jc w:val="center"/>
                    <w:textAlignment w:val="bottom"/>
                    <w:rPr>
                      <w:rFonts w:hAnsi="宋体"/>
                      <w:szCs w:val="21"/>
                    </w:rPr>
                  </w:pPr>
                  <w:r>
                    <w:rPr>
                      <w:rFonts w:hint="eastAsia" w:hAnsi="宋体"/>
                      <w:szCs w:val="21"/>
                    </w:rPr>
                    <w:t>76~86</w:t>
                  </w:r>
                </w:p>
              </w:tc>
              <w:tc>
                <w:tcPr>
                  <w:tcW w:w="1122" w:type="dxa"/>
                  <w:vAlign w:val="center"/>
                </w:tcPr>
                <w:p>
                  <w:pPr>
                    <w:autoSpaceDN w:val="0"/>
                    <w:jc w:val="center"/>
                    <w:textAlignment w:val="bottom"/>
                    <w:rPr>
                      <w:rFonts w:hAnsi="宋体"/>
                      <w:szCs w:val="21"/>
                    </w:rPr>
                  </w:pPr>
                  <w:r>
                    <w:rPr>
                      <w:rFonts w:hint="eastAsia" w:hAnsi="宋体"/>
                      <w:szCs w:val="21"/>
                    </w:rPr>
                    <w:t>/</w:t>
                  </w:r>
                </w:p>
              </w:tc>
              <w:tc>
                <w:tcPr>
                  <w:tcW w:w="1232" w:type="dxa"/>
                  <w:vAlign w:val="center"/>
                </w:tcPr>
                <w:p>
                  <w:pPr>
                    <w:autoSpaceDN w:val="0"/>
                    <w:jc w:val="center"/>
                    <w:textAlignment w:val="bottom"/>
                    <w:rPr>
                      <w:rFonts w:hAnsi="宋体"/>
                      <w:szCs w:val="21"/>
                    </w:rPr>
                  </w:pPr>
                  <w:r>
                    <w:rPr>
                      <w:rFonts w:hint="eastAsia" w:hAnsi="宋体"/>
                      <w:szCs w:val="21"/>
                    </w:rPr>
                    <w:t>8.59~9.67</w:t>
                  </w:r>
                </w:p>
              </w:tc>
              <w:tc>
                <w:tcPr>
                  <w:tcW w:w="1368" w:type="dxa"/>
                  <w:vAlign w:val="center"/>
                </w:tcPr>
                <w:p>
                  <w:pPr>
                    <w:autoSpaceDN w:val="0"/>
                    <w:jc w:val="center"/>
                    <w:textAlignment w:val="bottom"/>
                    <w:rPr>
                      <w:rFonts w:hAnsi="宋体"/>
                      <w:szCs w:val="21"/>
                    </w:rPr>
                  </w:pPr>
                  <w:r>
                    <w:rPr>
                      <w:rFonts w:hint="eastAsia" w:hAnsi="宋体"/>
                      <w:szCs w:val="21"/>
                    </w:rPr>
                    <w:t>200L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8" w:type="dxa"/>
                  <w:vMerge w:val="continue"/>
                  <w:vAlign w:val="center"/>
                </w:tcPr>
                <w:p>
                  <w:pPr>
                    <w:autoSpaceDN w:val="0"/>
                    <w:jc w:val="center"/>
                    <w:textAlignment w:val="bottom"/>
                    <w:rPr>
                      <w:rFonts w:hAnsi="宋体"/>
                      <w:szCs w:val="21"/>
                    </w:rPr>
                  </w:pPr>
                </w:p>
              </w:tc>
              <w:tc>
                <w:tcPr>
                  <w:tcW w:w="1027" w:type="dxa"/>
                  <w:vAlign w:val="center"/>
                </w:tcPr>
                <w:p>
                  <w:pPr>
                    <w:autoSpaceDN w:val="0"/>
                    <w:jc w:val="center"/>
                    <w:textAlignment w:val="bottom"/>
                    <w:rPr>
                      <w:rFonts w:hAnsi="宋体"/>
                      <w:szCs w:val="21"/>
                    </w:rPr>
                  </w:pPr>
                  <w:r>
                    <w:rPr>
                      <w:rFonts w:hint="eastAsia" w:hAnsi="宋体"/>
                      <w:szCs w:val="21"/>
                    </w:rPr>
                    <w:t>平均值</w:t>
                  </w:r>
                </w:p>
              </w:tc>
              <w:tc>
                <w:tcPr>
                  <w:tcW w:w="1122" w:type="dxa"/>
                  <w:vAlign w:val="center"/>
                </w:tcPr>
                <w:p>
                  <w:pPr>
                    <w:autoSpaceDN w:val="0"/>
                    <w:jc w:val="center"/>
                    <w:textAlignment w:val="bottom"/>
                    <w:rPr>
                      <w:rFonts w:hAnsi="宋体"/>
                      <w:szCs w:val="21"/>
                    </w:rPr>
                  </w:pPr>
                  <w:r>
                    <w:rPr>
                      <w:rFonts w:hint="eastAsia" w:hAnsi="宋体"/>
                      <w:szCs w:val="21"/>
                    </w:rPr>
                    <w:t>56</w:t>
                  </w:r>
                </w:p>
              </w:tc>
              <w:tc>
                <w:tcPr>
                  <w:tcW w:w="1122" w:type="dxa"/>
                  <w:vAlign w:val="center"/>
                </w:tcPr>
                <w:p>
                  <w:pPr>
                    <w:autoSpaceDN w:val="0"/>
                    <w:jc w:val="center"/>
                    <w:textAlignment w:val="bottom"/>
                    <w:rPr>
                      <w:rFonts w:hAnsi="宋体"/>
                      <w:szCs w:val="21"/>
                    </w:rPr>
                  </w:pPr>
                  <w:r>
                    <w:rPr>
                      <w:rFonts w:hint="eastAsia" w:hAnsi="宋体"/>
                      <w:szCs w:val="21"/>
                    </w:rPr>
                    <w:t>31</w:t>
                  </w:r>
                </w:p>
              </w:tc>
              <w:tc>
                <w:tcPr>
                  <w:tcW w:w="1122" w:type="dxa"/>
                  <w:vAlign w:val="center"/>
                </w:tcPr>
                <w:p>
                  <w:pPr>
                    <w:autoSpaceDN w:val="0"/>
                    <w:jc w:val="center"/>
                    <w:textAlignment w:val="bottom"/>
                    <w:rPr>
                      <w:rFonts w:hAnsi="宋体"/>
                      <w:szCs w:val="21"/>
                    </w:rPr>
                  </w:pPr>
                  <w:r>
                    <w:rPr>
                      <w:rFonts w:hint="eastAsia" w:hAnsi="宋体"/>
                      <w:szCs w:val="21"/>
                    </w:rPr>
                    <w:t>81</w:t>
                  </w:r>
                </w:p>
              </w:tc>
              <w:tc>
                <w:tcPr>
                  <w:tcW w:w="1122" w:type="dxa"/>
                  <w:vAlign w:val="center"/>
                </w:tcPr>
                <w:p>
                  <w:pPr>
                    <w:autoSpaceDN w:val="0"/>
                    <w:jc w:val="center"/>
                    <w:textAlignment w:val="bottom"/>
                    <w:rPr>
                      <w:rFonts w:hAnsi="宋体"/>
                      <w:szCs w:val="21"/>
                    </w:rPr>
                  </w:pPr>
                  <w:r>
                    <w:rPr>
                      <w:rFonts w:hint="eastAsia" w:hAnsi="宋体"/>
                      <w:szCs w:val="21"/>
                    </w:rPr>
                    <w:t>/</w:t>
                  </w:r>
                </w:p>
              </w:tc>
              <w:tc>
                <w:tcPr>
                  <w:tcW w:w="1232" w:type="dxa"/>
                  <w:vAlign w:val="center"/>
                </w:tcPr>
                <w:p>
                  <w:pPr>
                    <w:autoSpaceDN w:val="0"/>
                    <w:jc w:val="center"/>
                    <w:textAlignment w:val="bottom"/>
                    <w:rPr>
                      <w:rFonts w:hAnsi="宋体"/>
                      <w:szCs w:val="21"/>
                    </w:rPr>
                  </w:pPr>
                  <w:r>
                    <w:rPr>
                      <w:rFonts w:hint="eastAsia" w:hAnsi="宋体"/>
                      <w:szCs w:val="21"/>
                    </w:rPr>
                    <w:t>9.12</w:t>
                  </w:r>
                </w:p>
              </w:tc>
              <w:tc>
                <w:tcPr>
                  <w:tcW w:w="1368" w:type="dxa"/>
                  <w:vAlign w:val="center"/>
                </w:tcPr>
                <w:p>
                  <w:pPr>
                    <w:autoSpaceDN w:val="0"/>
                    <w:jc w:val="center"/>
                    <w:textAlignment w:val="bottom"/>
                    <w:rPr>
                      <w:rFonts w:hAnsi="宋体"/>
                      <w:szCs w:val="21"/>
                    </w:rPr>
                  </w:pPr>
                  <w:r>
                    <w:rPr>
                      <w:rFonts w:hint="eastAsia" w:hAnsi="宋体"/>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8" w:type="dxa"/>
                  <w:vMerge w:val="continue"/>
                  <w:vAlign w:val="center"/>
                </w:tcPr>
                <w:p>
                  <w:pPr>
                    <w:autoSpaceDN w:val="0"/>
                    <w:jc w:val="center"/>
                    <w:textAlignment w:val="bottom"/>
                    <w:rPr>
                      <w:rFonts w:hAnsi="宋体"/>
                      <w:szCs w:val="21"/>
                    </w:rPr>
                  </w:pPr>
                </w:p>
              </w:tc>
              <w:tc>
                <w:tcPr>
                  <w:tcW w:w="1027" w:type="dxa"/>
                  <w:vAlign w:val="center"/>
                </w:tcPr>
                <w:p>
                  <w:pPr>
                    <w:autoSpaceDN w:val="0"/>
                    <w:jc w:val="center"/>
                    <w:textAlignment w:val="bottom"/>
                    <w:rPr>
                      <w:rFonts w:hAnsi="宋体"/>
                      <w:szCs w:val="21"/>
                    </w:rPr>
                  </w:pPr>
                  <w:r>
                    <w:rPr>
                      <w:rFonts w:hint="eastAsia" w:hAnsi="宋体"/>
                      <w:szCs w:val="21"/>
                    </w:rPr>
                    <w:t>超标率（%）</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w:t>
                  </w:r>
                </w:p>
              </w:tc>
              <w:tc>
                <w:tcPr>
                  <w:tcW w:w="1232" w:type="dxa"/>
                  <w:vAlign w:val="center"/>
                </w:tcPr>
                <w:p>
                  <w:pPr>
                    <w:autoSpaceDN w:val="0"/>
                    <w:jc w:val="center"/>
                    <w:textAlignment w:val="bottom"/>
                    <w:rPr>
                      <w:rFonts w:hAnsi="宋体"/>
                      <w:szCs w:val="21"/>
                    </w:rPr>
                  </w:pPr>
                  <w:r>
                    <w:rPr>
                      <w:rFonts w:hint="eastAsia" w:hAnsi="宋体"/>
                      <w:szCs w:val="21"/>
                    </w:rPr>
                    <w:t>0</w:t>
                  </w:r>
                </w:p>
              </w:tc>
              <w:tc>
                <w:tcPr>
                  <w:tcW w:w="1368" w:type="dxa"/>
                  <w:vAlign w:val="center"/>
                </w:tcPr>
                <w:p>
                  <w:pPr>
                    <w:autoSpaceDN w:val="0"/>
                    <w:jc w:val="center"/>
                    <w:textAlignment w:val="bottom"/>
                    <w:rPr>
                      <w:rFonts w:hAnsi="宋体"/>
                      <w:szCs w:val="21"/>
                    </w:rPr>
                  </w:pPr>
                  <w:r>
                    <w:rPr>
                      <w:rFonts w:hint="eastAsia" w:hAnsi="宋体"/>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58" w:type="dxa"/>
                  <w:vMerge w:val="continue"/>
                  <w:vAlign w:val="center"/>
                </w:tcPr>
                <w:p>
                  <w:pPr>
                    <w:autoSpaceDN w:val="0"/>
                    <w:jc w:val="center"/>
                    <w:textAlignment w:val="bottom"/>
                    <w:rPr>
                      <w:rFonts w:hAnsi="宋体"/>
                      <w:szCs w:val="21"/>
                    </w:rPr>
                  </w:pPr>
                </w:p>
              </w:tc>
              <w:tc>
                <w:tcPr>
                  <w:tcW w:w="1027" w:type="dxa"/>
                  <w:vAlign w:val="center"/>
                </w:tcPr>
                <w:p>
                  <w:pPr>
                    <w:autoSpaceDN w:val="0"/>
                    <w:jc w:val="center"/>
                    <w:textAlignment w:val="bottom"/>
                    <w:rPr>
                      <w:rFonts w:hAnsi="宋体"/>
                      <w:szCs w:val="21"/>
                    </w:rPr>
                  </w:pPr>
                  <w:r>
                    <w:rPr>
                      <w:rFonts w:hint="eastAsia" w:hAnsi="宋体"/>
                      <w:szCs w:val="21"/>
                    </w:rPr>
                    <w:t>最大超标倍数</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0</w:t>
                  </w:r>
                </w:p>
              </w:tc>
              <w:tc>
                <w:tcPr>
                  <w:tcW w:w="1122" w:type="dxa"/>
                  <w:vAlign w:val="center"/>
                </w:tcPr>
                <w:p>
                  <w:pPr>
                    <w:autoSpaceDN w:val="0"/>
                    <w:jc w:val="center"/>
                    <w:textAlignment w:val="bottom"/>
                    <w:rPr>
                      <w:rFonts w:hAnsi="宋体"/>
                      <w:szCs w:val="21"/>
                    </w:rPr>
                  </w:pPr>
                  <w:r>
                    <w:rPr>
                      <w:rFonts w:hint="eastAsia" w:hAnsi="宋体"/>
                      <w:szCs w:val="21"/>
                    </w:rPr>
                    <w:t>/</w:t>
                  </w:r>
                </w:p>
              </w:tc>
              <w:tc>
                <w:tcPr>
                  <w:tcW w:w="1232" w:type="dxa"/>
                  <w:vAlign w:val="center"/>
                </w:tcPr>
                <w:p>
                  <w:pPr>
                    <w:autoSpaceDN w:val="0"/>
                    <w:jc w:val="center"/>
                    <w:textAlignment w:val="bottom"/>
                    <w:rPr>
                      <w:rFonts w:hAnsi="宋体"/>
                      <w:szCs w:val="21"/>
                    </w:rPr>
                  </w:pPr>
                  <w:r>
                    <w:rPr>
                      <w:rFonts w:hint="eastAsia" w:hAnsi="宋体"/>
                      <w:szCs w:val="21"/>
                    </w:rPr>
                    <w:t>0</w:t>
                  </w:r>
                </w:p>
              </w:tc>
              <w:tc>
                <w:tcPr>
                  <w:tcW w:w="1368" w:type="dxa"/>
                  <w:vAlign w:val="center"/>
                </w:tcPr>
                <w:p>
                  <w:pPr>
                    <w:autoSpaceDN w:val="0"/>
                    <w:jc w:val="center"/>
                    <w:textAlignment w:val="bottom"/>
                    <w:rPr>
                      <w:rFonts w:hAnsi="宋体"/>
                      <w:szCs w:val="21"/>
                    </w:rPr>
                  </w:pPr>
                  <w:r>
                    <w:rPr>
                      <w:rFonts w:hint="eastAsia" w:hAnsi="宋体"/>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85" w:type="dxa"/>
                  <w:gridSpan w:val="2"/>
                  <w:vAlign w:val="center"/>
                </w:tcPr>
                <w:p>
                  <w:pPr>
                    <w:autoSpaceDN w:val="0"/>
                    <w:jc w:val="center"/>
                    <w:textAlignment w:val="bottom"/>
                    <w:rPr>
                      <w:rFonts w:hAnsi="宋体"/>
                      <w:szCs w:val="21"/>
                    </w:rPr>
                  </w:pPr>
                  <w:r>
                    <w:rPr>
                      <w:rFonts w:hint="eastAsia" w:hAnsi="宋体"/>
                      <w:szCs w:val="21"/>
                    </w:rPr>
                    <w:t>评价标准</w:t>
                  </w:r>
                </w:p>
              </w:tc>
              <w:tc>
                <w:tcPr>
                  <w:tcW w:w="1122" w:type="dxa"/>
                  <w:vAlign w:val="center"/>
                </w:tcPr>
                <w:p>
                  <w:pPr>
                    <w:autoSpaceDN w:val="0"/>
                    <w:jc w:val="center"/>
                    <w:textAlignment w:val="bottom"/>
                    <w:rPr>
                      <w:rFonts w:hAnsi="宋体"/>
                      <w:szCs w:val="21"/>
                    </w:rPr>
                  </w:pPr>
                  <w:r>
                    <w:rPr>
                      <w:rFonts w:hint="eastAsia" w:hAnsi="宋体"/>
                      <w:szCs w:val="21"/>
                    </w:rPr>
                    <w:t>500</w:t>
                  </w:r>
                </w:p>
              </w:tc>
              <w:tc>
                <w:tcPr>
                  <w:tcW w:w="1122" w:type="dxa"/>
                  <w:vAlign w:val="center"/>
                </w:tcPr>
                <w:p>
                  <w:pPr>
                    <w:autoSpaceDN w:val="0"/>
                    <w:jc w:val="center"/>
                    <w:textAlignment w:val="bottom"/>
                    <w:rPr>
                      <w:rFonts w:hAnsi="宋体"/>
                      <w:szCs w:val="21"/>
                    </w:rPr>
                  </w:pPr>
                  <w:r>
                    <w:rPr>
                      <w:rFonts w:hint="eastAsia" w:hAnsi="宋体"/>
                      <w:szCs w:val="21"/>
                    </w:rPr>
                    <w:t>200</w:t>
                  </w:r>
                </w:p>
              </w:tc>
              <w:tc>
                <w:tcPr>
                  <w:tcW w:w="1122" w:type="dxa"/>
                  <w:vAlign w:val="center"/>
                </w:tcPr>
                <w:p>
                  <w:pPr>
                    <w:autoSpaceDN w:val="0"/>
                    <w:jc w:val="center"/>
                    <w:textAlignment w:val="bottom"/>
                    <w:rPr>
                      <w:rFonts w:hAnsi="宋体"/>
                      <w:szCs w:val="21"/>
                    </w:rPr>
                  </w:pPr>
                  <w:r>
                    <w:rPr>
                      <w:rFonts w:hint="eastAsia" w:hAnsi="宋体"/>
                      <w:szCs w:val="21"/>
                    </w:rPr>
                    <w:t>150</w:t>
                  </w:r>
                </w:p>
              </w:tc>
              <w:tc>
                <w:tcPr>
                  <w:tcW w:w="1122" w:type="dxa"/>
                  <w:vAlign w:val="center"/>
                </w:tcPr>
                <w:p>
                  <w:pPr>
                    <w:autoSpaceDN w:val="0"/>
                    <w:jc w:val="center"/>
                    <w:textAlignment w:val="bottom"/>
                    <w:rPr>
                      <w:rFonts w:hAnsi="宋体"/>
                      <w:szCs w:val="21"/>
                    </w:rPr>
                  </w:pPr>
                  <w:r>
                    <w:rPr>
                      <w:rFonts w:hint="eastAsia" w:hAnsi="宋体"/>
                      <w:szCs w:val="21"/>
                    </w:rPr>
                    <w:t>75</w:t>
                  </w:r>
                </w:p>
              </w:tc>
              <w:tc>
                <w:tcPr>
                  <w:tcW w:w="1232" w:type="dxa"/>
                  <w:vAlign w:val="center"/>
                </w:tcPr>
                <w:p>
                  <w:pPr>
                    <w:autoSpaceDN w:val="0"/>
                    <w:jc w:val="center"/>
                    <w:textAlignment w:val="bottom"/>
                    <w:rPr>
                      <w:rFonts w:hAnsi="宋体"/>
                      <w:szCs w:val="21"/>
                    </w:rPr>
                  </w:pPr>
                  <w:r>
                    <w:rPr>
                      <w:rFonts w:hint="eastAsia" w:hAnsi="宋体"/>
                      <w:szCs w:val="21"/>
                    </w:rPr>
                    <w:t>600</w:t>
                  </w:r>
                </w:p>
              </w:tc>
              <w:tc>
                <w:tcPr>
                  <w:tcW w:w="1368" w:type="dxa"/>
                  <w:vAlign w:val="center"/>
                </w:tcPr>
                <w:p>
                  <w:pPr>
                    <w:autoSpaceDN w:val="0"/>
                    <w:jc w:val="center"/>
                    <w:textAlignment w:val="bottom"/>
                    <w:rPr>
                      <w:rFonts w:hAnsi="宋体"/>
                      <w:szCs w:val="21"/>
                    </w:rPr>
                  </w:pPr>
                  <w:r>
                    <w:rPr>
                      <w:rFonts w:hint="eastAsia" w:hAnsi="宋体"/>
                      <w:szCs w:val="21"/>
                    </w:rPr>
                    <w:t>2000</w:t>
                  </w:r>
                </w:p>
              </w:tc>
            </w:tr>
          </w:tbl>
          <w:p>
            <w:pPr>
              <w:spacing w:line="360" w:lineRule="auto"/>
              <w:ind w:firstLine="480" w:firstLineChars="200"/>
              <w:rPr>
                <w:sz w:val="24"/>
              </w:rPr>
            </w:pPr>
            <w:r>
              <w:rPr>
                <w:rFonts w:hint="eastAsia"/>
                <w:sz w:val="24"/>
              </w:rPr>
              <w:t>根据表3-1可知，监测期间：</w:t>
            </w:r>
          </w:p>
          <w:p>
            <w:pPr>
              <w:spacing w:line="360" w:lineRule="auto"/>
              <w:ind w:firstLine="480" w:firstLineChars="200"/>
              <w:rPr>
                <w:kern w:val="0"/>
                <w:sz w:val="24"/>
                <w:lang w:val="zh-CN"/>
              </w:rPr>
            </w:pPr>
            <w:r>
              <w:rPr>
                <w:rFonts w:hint="eastAsia"/>
                <w:sz w:val="24"/>
              </w:rPr>
              <w:t>（1）项目东南1265m处</w:t>
            </w:r>
            <w:r>
              <w:rPr>
                <w:sz w:val="24"/>
              </w:rPr>
              <w:t>SO</w:t>
            </w:r>
            <w:r>
              <w:rPr>
                <w:sz w:val="24"/>
                <w:vertAlign w:val="subscript"/>
              </w:rPr>
              <w:t>2</w:t>
            </w:r>
            <w:r>
              <w:rPr>
                <w:rFonts w:hint="eastAsia"/>
                <w:sz w:val="24"/>
              </w:rPr>
              <w:t>、</w:t>
            </w:r>
            <w:r>
              <w:rPr>
                <w:sz w:val="24"/>
              </w:rPr>
              <w:t>NO</w:t>
            </w:r>
            <w:r>
              <w:rPr>
                <w:sz w:val="24"/>
                <w:vertAlign w:val="subscript"/>
              </w:rPr>
              <w:t>2</w:t>
            </w:r>
            <w:r>
              <w:rPr>
                <w:rFonts w:hint="eastAsia"/>
                <w:sz w:val="24"/>
              </w:rPr>
              <w:t>、</w:t>
            </w:r>
            <w:r>
              <w:rPr>
                <w:sz w:val="24"/>
              </w:rPr>
              <w:t>PM</w:t>
            </w:r>
            <w:r>
              <w:rPr>
                <w:rFonts w:hint="eastAsia"/>
                <w:sz w:val="24"/>
                <w:vertAlign w:val="subscript"/>
              </w:rPr>
              <w:t>10</w:t>
            </w:r>
            <w:r>
              <w:rPr>
                <w:rFonts w:hint="eastAsia"/>
                <w:sz w:val="24"/>
              </w:rPr>
              <w:t>、</w:t>
            </w:r>
            <w:r>
              <w:rPr>
                <w:sz w:val="24"/>
              </w:rPr>
              <w:t>PM</w:t>
            </w:r>
            <w:r>
              <w:rPr>
                <w:rFonts w:hint="eastAsia"/>
                <w:sz w:val="24"/>
                <w:vertAlign w:val="subscript"/>
              </w:rPr>
              <w:t>2.5</w:t>
            </w:r>
            <w:r>
              <w:rPr>
                <w:rFonts w:hint="eastAsia"/>
                <w:sz w:val="24"/>
              </w:rPr>
              <w:t>日均值均</w:t>
            </w:r>
            <w:r>
              <w:rPr>
                <w:kern w:val="0"/>
                <w:sz w:val="24"/>
                <w:lang w:val="zh-CN"/>
              </w:rPr>
              <w:t>《环境空气质量标准》</w:t>
            </w:r>
            <w:r>
              <w:rPr>
                <w:rFonts w:hint="eastAsia"/>
                <w:kern w:val="0"/>
                <w:sz w:val="24"/>
                <w:lang w:val="zh-CN"/>
              </w:rPr>
              <w:t>（</w:t>
            </w:r>
            <w:r>
              <w:rPr>
                <w:kern w:val="0"/>
                <w:sz w:val="24"/>
                <w:lang w:val="zh-CN"/>
              </w:rPr>
              <w:t>GB3095-</w:t>
            </w:r>
            <w:r>
              <w:rPr>
                <w:rFonts w:hint="eastAsia"/>
                <w:kern w:val="0"/>
                <w:sz w:val="24"/>
                <w:lang w:val="zh-CN"/>
              </w:rPr>
              <w:t>2012）</w:t>
            </w:r>
            <w:r>
              <w:rPr>
                <w:kern w:val="0"/>
                <w:sz w:val="24"/>
                <w:lang w:val="zh-CN"/>
              </w:rPr>
              <w:t>中二级标准</w:t>
            </w:r>
            <w:r>
              <w:rPr>
                <w:rFonts w:hint="eastAsia"/>
                <w:kern w:val="0"/>
                <w:sz w:val="24"/>
                <w:lang w:val="zh-CN"/>
              </w:rPr>
              <w:t>要求，VOCs满足《室内空气质量标准》（GBT18883-2002）表1标准要求。</w:t>
            </w:r>
          </w:p>
          <w:p>
            <w:pPr>
              <w:spacing w:line="360" w:lineRule="auto"/>
              <w:ind w:firstLine="480" w:firstLineChars="200"/>
              <w:rPr>
                <w:sz w:val="24"/>
              </w:rPr>
            </w:pPr>
            <w:r>
              <w:rPr>
                <w:rFonts w:hint="eastAsia"/>
                <w:sz w:val="24"/>
              </w:rPr>
              <w:t>（2）项目南面883m处</w:t>
            </w:r>
            <w:r>
              <w:rPr>
                <w:sz w:val="24"/>
              </w:rPr>
              <w:t>SO</w:t>
            </w:r>
            <w:r>
              <w:rPr>
                <w:sz w:val="24"/>
                <w:vertAlign w:val="subscript"/>
              </w:rPr>
              <w:t>2</w:t>
            </w:r>
            <w:r>
              <w:rPr>
                <w:rFonts w:hint="eastAsia"/>
                <w:sz w:val="24"/>
              </w:rPr>
              <w:t>、</w:t>
            </w:r>
            <w:r>
              <w:rPr>
                <w:sz w:val="24"/>
              </w:rPr>
              <w:t>NO</w:t>
            </w:r>
            <w:r>
              <w:rPr>
                <w:sz w:val="24"/>
                <w:vertAlign w:val="subscript"/>
              </w:rPr>
              <w:t>2</w:t>
            </w:r>
            <w:r>
              <w:rPr>
                <w:rFonts w:hint="eastAsia"/>
                <w:sz w:val="24"/>
              </w:rPr>
              <w:t>小时值，</w:t>
            </w:r>
            <w:r>
              <w:rPr>
                <w:sz w:val="24"/>
              </w:rPr>
              <w:t>PM</w:t>
            </w:r>
            <w:r>
              <w:rPr>
                <w:rFonts w:hint="eastAsia"/>
                <w:sz w:val="24"/>
                <w:vertAlign w:val="subscript"/>
              </w:rPr>
              <w:t>10</w:t>
            </w:r>
            <w:r>
              <w:rPr>
                <w:rFonts w:hint="eastAsia"/>
                <w:sz w:val="24"/>
              </w:rPr>
              <w:t>、</w:t>
            </w:r>
            <w:r>
              <w:rPr>
                <w:sz w:val="24"/>
              </w:rPr>
              <w:t>PM</w:t>
            </w:r>
            <w:r>
              <w:rPr>
                <w:rFonts w:hint="eastAsia"/>
                <w:sz w:val="24"/>
                <w:vertAlign w:val="subscript"/>
              </w:rPr>
              <w:t>2.5</w:t>
            </w:r>
            <w:r>
              <w:rPr>
                <w:rFonts w:hint="eastAsia"/>
                <w:sz w:val="24"/>
              </w:rPr>
              <w:t>日均值均</w:t>
            </w:r>
            <w:r>
              <w:rPr>
                <w:kern w:val="0"/>
                <w:sz w:val="24"/>
                <w:lang w:val="zh-CN"/>
              </w:rPr>
              <w:t>《环境空气质量标准》</w:t>
            </w:r>
            <w:r>
              <w:rPr>
                <w:rFonts w:hint="eastAsia"/>
                <w:kern w:val="0"/>
                <w:sz w:val="24"/>
                <w:lang w:val="zh-CN"/>
              </w:rPr>
              <w:t>（</w:t>
            </w:r>
            <w:r>
              <w:rPr>
                <w:kern w:val="0"/>
                <w:sz w:val="24"/>
                <w:lang w:val="zh-CN"/>
              </w:rPr>
              <w:t>GB3095-</w:t>
            </w:r>
            <w:r>
              <w:rPr>
                <w:rFonts w:hint="eastAsia"/>
                <w:kern w:val="0"/>
                <w:sz w:val="24"/>
                <w:lang w:val="zh-CN"/>
              </w:rPr>
              <w:t>2012）</w:t>
            </w:r>
            <w:r>
              <w:rPr>
                <w:kern w:val="0"/>
                <w:sz w:val="24"/>
                <w:lang w:val="zh-CN"/>
              </w:rPr>
              <w:t>中二级标准</w:t>
            </w:r>
            <w:r>
              <w:rPr>
                <w:rFonts w:hint="eastAsia"/>
                <w:kern w:val="0"/>
                <w:sz w:val="24"/>
                <w:lang w:val="zh-CN"/>
              </w:rPr>
              <w:t>要求，VOCs满足《室内空气质量标准》（GBT18883-2002）表1标准要求，非甲烷总烃满足《环境空气质量  非甲烷总烃限值》（DB13/1577-2012）表1中二级标准。</w:t>
            </w:r>
          </w:p>
          <w:p>
            <w:pPr>
              <w:pStyle w:val="9"/>
              <w:spacing w:line="440" w:lineRule="exact"/>
              <w:ind w:firstLine="0" w:firstLineChars="0"/>
              <w:jc w:val="left"/>
              <w:rPr>
                <w:b/>
                <w:spacing w:val="4"/>
                <w:sz w:val="24"/>
                <w:szCs w:val="24"/>
              </w:rPr>
            </w:pPr>
            <w:r>
              <w:rPr>
                <w:rFonts w:hint="eastAsia"/>
                <w:b/>
                <w:spacing w:val="4"/>
                <w:sz w:val="24"/>
                <w:szCs w:val="24"/>
              </w:rPr>
              <w:t xml:space="preserve">3.1.2 </w:t>
            </w:r>
            <w:r>
              <w:rPr>
                <w:b/>
                <w:spacing w:val="4"/>
                <w:sz w:val="24"/>
                <w:szCs w:val="24"/>
              </w:rPr>
              <w:t>地表水环境质量现状</w:t>
            </w:r>
          </w:p>
          <w:p>
            <w:pPr>
              <w:spacing w:line="360" w:lineRule="auto"/>
              <w:ind w:firstLine="480" w:firstLineChars="200"/>
              <w:rPr>
                <w:sz w:val="24"/>
              </w:rPr>
            </w:pPr>
            <w:r>
              <w:rPr>
                <w:rFonts w:hint="eastAsia"/>
                <w:sz w:val="24"/>
              </w:rPr>
              <w:t>该区域纳污水体为湘江，项目废水经湘潭经济技术开发区污水管网后汇入九华污水处理厂，达标处理后最终汇入湘江。项目所在区域排水位于湘江湘潭段下游，根据《湖南省主要地表水系水环境功能区划》，湘江该江段水域应执行《地表水环境质量标准》（GB3838-2002）Ⅲ类标准。</w:t>
            </w:r>
          </w:p>
          <w:p>
            <w:pPr>
              <w:spacing w:line="360" w:lineRule="auto"/>
              <w:ind w:firstLine="480" w:firstLineChars="200"/>
              <w:rPr>
                <w:sz w:val="24"/>
              </w:rPr>
            </w:pPr>
            <w:r>
              <w:rPr>
                <w:sz w:val="24"/>
              </w:rPr>
              <w:t>本次环评采用湘潭市常规监测断面（五星断面和易家湾断面）20</w:t>
            </w:r>
            <w:r>
              <w:rPr>
                <w:rFonts w:hint="eastAsia"/>
                <w:sz w:val="24"/>
              </w:rPr>
              <w:t>15</w:t>
            </w:r>
            <w:r>
              <w:rPr>
                <w:sz w:val="24"/>
              </w:rPr>
              <w:t>监测统计数据对该江段水质进行评价，其监测统计结果见</w:t>
            </w:r>
            <w:r>
              <w:rPr>
                <w:rFonts w:hint="eastAsia"/>
                <w:sz w:val="24"/>
              </w:rPr>
              <w:t>下</w:t>
            </w:r>
            <w:r>
              <w:rPr>
                <w:sz w:val="24"/>
              </w:rPr>
              <w:t>表</w:t>
            </w:r>
            <w:r>
              <w:rPr>
                <w:rFonts w:hint="eastAsia"/>
                <w:sz w:val="24"/>
              </w:rPr>
              <w:t>3-2</w:t>
            </w:r>
            <w:r>
              <w:rPr>
                <w:sz w:val="24"/>
              </w:rPr>
              <w:t>。</w:t>
            </w:r>
          </w:p>
          <w:p>
            <w:pPr>
              <w:snapToGrid w:val="0"/>
              <w:spacing w:line="360" w:lineRule="auto"/>
              <w:jc w:val="center"/>
              <w:rPr>
                <w:b/>
                <w:sz w:val="24"/>
              </w:rPr>
            </w:pPr>
            <w:r>
              <w:rPr>
                <w:b/>
                <w:sz w:val="24"/>
              </w:rPr>
              <w:t>表</w:t>
            </w:r>
            <w:r>
              <w:rPr>
                <w:rFonts w:hint="eastAsia"/>
                <w:b/>
                <w:sz w:val="24"/>
              </w:rPr>
              <w:t xml:space="preserve">3-2 </w:t>
            </w:r>
            <w:r>
              <w:rPr>
                <w:b/>
                <w:sz w:val="24"/>
              </w:rPr>
              <w:t xml:space="preserve"> 201</w:t>
            </w:r>
            <w:r>
              <w:rPr>
                <w:rFonts w:hint="eastAsia"/>
                <w:b/>
                <w:sz w:val="24"/>
              </w:rPr>
              <w:t>5</w:t>
            </w:r>
            <w:r>
              <w:rPr>
                <w:b/>
                <w:sz w:val="24"/>
              </w:rPr>
              <w:t>年五星和易家湾断面水质监测统计结果　单位：mg/L(pH无量纲)</w:t>
            </w:r>
          </w:p>
          <w:tbl>
            <w:tblPr>
              <w:tblStyle w:val="29"/>
              <w:tblW w:w="927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26"/>
              <w:gridCol w:w="1886"/>
              <w:gridCol w:w="1149"/>
              <w:gridCol w:w="1147"/>
              <w:gridCol w:w="1149"/>
              <w:gridCol w:w="1095"/>
              <w:gridCol w:w="1374"/>
              <w:gridCol w:w="9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412" w:type="dxa"/>
                  <w:gridSpan w:val="2"/>
                  <w:vAlign w:val="center"/>
                </w:tcPr>
                <w:p>
                  <w:pPr>
                    <w:widowControl/>
                    <w:spacing w:line="320" w:lineRule="atLeast"/>
                    <w:jc w:val="center"/>
                    <w:rPr>
                      <w:kern w:val="0"/>
                      <w:szCs w:val="21"/>
                    </w:rPr>
                  </w:pPr>
                  <w:r>
                    <w:rPr>
                      <w:rFonts w:hAnsi="宋体"/>
                      <w:kern w:val="0"/>
                      <w:szCs w:val="21"/>
                    </w:rPr>
                    <w:t>项目</w:t>
                  </w:r>
                </w:p>
              </w:tc>
              <w:tc>
                <w:tcPr>
                  <w:tcW w:w="1149" w:type="dxa"/>
                  <w:vAlign w:val="center"/>
                </w:tcPr>
                <w:p>
                  <w:pPr>
                    <w:widowControl/>
                    <w:spacing w:line="320" w:lineRule="atLeast"/>
                    <w:jc w:val="center"/>
                    <w:rPr>
                      <w:kern w:val="0"/>
                      <w:szCs w:val="21"/>
                    </w:rPr>
                  </w:pPr>
                  <w:r>
                    <w:rPr>
                      <w:rFonts w:hAnsi="宋体"/>
                      <w:kern w:val="0"/>
                      <w:szCs w:val="21"/>
                    </w:rPr>
                    <w:t>最大值</w:t>
                  </w:r>
                </w:p>
              </w:tc>
              <w:tc>
                <w:tcPr>
                  <w:tcW w:w="1147" w:type="dxa"/>
                  <w:vAlign w:val="center"/>
                </w:tcPr>
                <w:p>
                  <w:pPr>
                    <w:widowControl/>
                    <w:spacing w:line="320" w:lineRule="atLeast"/>
                    <w:jc w:val="center"/>
                    <w:rPr>
                      <w:kern w:val="0"/>
                      <w:szCs w:val="21"/>
                    </w:rPr>
                  </w:pPr>
                  <w:r>
                    <w:rPr>
                      <w:rFonts w:hAnsi="宋体"/>
                      <w:kern w:val="0"/>
                      <w:szCs w:val="21"/>
                    </w:rPr>
                    <w:t>最小值</w:t>
                  </w:r>
                </w:p>
              </w:tc>
              <w:tc>
                <w:tcPr>
                  <w:tcW w:w="1149" w:type="dxa"/>
                  <w:vAlign w:val="center"/>
                </w:tcPr>
                <w:p>
                  <w:pPr>
                    <w:widowControl/>
                    <w:spacing w:line="320" w:lineRule="atLeast"/>
                    <w:jc w:val="center"/>
                    <w:rPr>
                      <w:kern w:val="0"/>
                      <w:szCs w:val="21"/>
                    </w:rPr>
                  </w:pPr>
                  <w:r>
                    <w:rPr>
                      <w:rFonts w:hAnsi="宋体"/>
                      <w:kern w:val="0"/>
                      <w:szCs w:val="21"/>
                    </w:rPr>
                    <w:t>平均值</w:t>
                  </w:r>
                </w:p>
              </w:tc>
              <w:tc>
                <w:tcPr>
                  <w:tcW w:w="1095" w:type="dxa"/>
                  <w:vAlign w:val="center"/>
                </w:tcPr>
                <w:p>
                  <w:pPr>
                    <w:widowControl/>
                    <w:spacing w:line="320" w:lineRule="atLeast"/>
                    <w:jc w:val="center"/>
                    <w:rPr>
                      <w:kern w:val="0"/>
                      <w:szCs w:val="21"/>
                    </w:rPr>
                  </w:pPr>
                  <w:r>
                    <w:rPr>
                      <w:rFonts w:hAnsi="宋体"/>
                      <w:kern w:val="0"/>
                      <w:szCs w:val="21"/>
                    </w:rPr>
                    <w:t>超标率</w:t>
                  </w:r>
                  <w:r>
                    <w:rPr>
                      <w:kern w:val="0"/>
                      <w:szCs w:val="21"/>
                    </w:rPr>
                    <w:t>%</w:t>
                  </w:r>
                </w:p>
              </w:tc>
              <w:tc>
                <w:tcPr>
                  <w:tcW w:w="1374" w:type="dxa"/>
                  <w:vAlign w:val="center"/>
                </w:tcPr>
                <w:p>
                  <w:pPr>
                    <w:widowControl/>
                    <w:spacing w:line="320" w:lineRule="atLeast"/>
                    <w:ind w:left="-61" w:leftChars="-29" w:right="-107" w:rightChars="-51"/>
                    <w:jc w:val="center"/>
                    <w:rPr>
                      <w:spacing w:val="-8"/>
                      <w:kern w:val="0"/>
                      <w:szCs w:val="21"/>
                    </w:rPr>
                  </w:pPr>
                  <w:r>
                    <w:rPr>
                      <w:rFonts w:hAnsi="宋体"/>
                      <w:spacing w:val="-8"/>
                      <w:kern w:val="0"/>
                      <w:szCs w:val="21"/>
                    </w:rPr>
                    <w:t>最大超标倍数</w:t>
                  </w:r>
                </w:p>
              </w:tc>
              <w:tc>
                <w:tcPr>
                  <w:tcW w:w="947" w:type="dxa"/>
                  <w:vAlign w:val="center"/>
                </w:tcPr>
                <w:p>
                  <w:pPr>
                    <w:widowControl/>
                    <w:spacing w:line="320" w:lineRule="atLeast"/>
                    <w:jc w:val="center"/>
                    <w:rPr>
                      <w:kern w:val="0"/>
                      <w:szCs w:val="21"/>
                    </w:rPr>
                  </w:pPr>
                  <w:r>
                    <w:rPr>
                      <w:rFonts w:hAnsi="宋体"/>
                      <w:kern w:val="0"/>
                      <w:szCs w:val="21"/>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restart"/>
                  <w:vAlign w:val="center"/>
                </w:tcPr>
                <w:p>
                  <w:pPr>
                    <w:widowControl/>
                    <w:spacing w:line="320" w:lineRule="atLeast"/>
                    <w:jc w:val="center"/>
                    <w:rPr>
                      <w:rFonts w:hAnsi="宋体"/>
                      <w:szCs w:val="21"/>
                    </w:rPr>
                  </w:pPr>
                  <w:r>
                    <w:rPr>
                      <w:rFonts w:hAnsi="宋体"/>
                      <w:szCs w:val="21"/>
                    </w:rPr>
                    <w:t>五</w:t>
                  </w:r>
                </w:p>
                <w:p>
                  <w:pPr>
                    <w:widowControl/>
                    <w:spacing w:line="320" w:lineRule="atLeast"/>
                    <w:jc w:val="center"/>
                    <w:rPr>
                      <w:rFonts w:hAnsi="宋体"/>
                      <w:szCs w:val="21"/>
                    </w:rPr>
                  </w:pPr>
                  <w:r>
                    <w:rPr>
                      <w:rFonts w:hAnsi="宋体"/>
                      <w:szCs w:val="21"/>
                    </w:rPr>
                    <w:t>星</w:t>
                  </w:r>
                </w:p>
                <w:p>
                  <w:pPr>
                    <w:widowControl/>
                    <w:spacing w:line="320" w:lineRule="atLeast"/>
                    <w:jc w:val="center"/>
                    <w:rPr>
                      <w:rFonts w:hAnsi="宋体"/>
                      <w:szCs w:val="21"/>
                    </w:rPr>
                  </w:pPr>
                  <w:r>
                    <w:rPr>
                      <w:rFonts w:hAnsi="宋体"/>
                      <w:szCs w:val="21"/>
                    </w:rPr>
                    <w:t>断</w:t>
                  </w:r>
                </w:p>
                <w:p>
                  <w:pPr>
                    <w:widowControl/>
                    <w:spacing w:line="320" w:lineRule="atLeast"/>
                    <w:jc w:val="center"/>
                    <w:rPr>
                      <w:rFonts w:hAnsi="宋体"/>
                      <w:szCs w:val="21"/>
                    </w:rPr>
                  </w:pPr>
                  <w:r>
                    <w:rPr>
                      <w:rFonts w:hAnsi="宋体"/>
                      <w:szCs w:val="21"/>
                    </w:rPr>
                    <w:t>面</w:t>
                  </w:r>
                </w:p>
              </w:tc>
              <w:tc>
                <w:tcPr>
                  <w:tcW w:w="1886" w:type="dxa"/>
                  <w:vAlign w:val="center"/>
                </w:tcPr>
                <w:p>
                  <w:pPr>
                    <w:widowControl/>
                    <w:spacing w:line="320" w:lineRule="atLeast"/>
                    <w:jc w:val="center"/>
                    <w:rPr>
                      <w:kern w:val="0"/>
                      <w:szCs w:val="21"/>
                    </w:rPr>
                  </w:pPr>
                  <w:r>
                    <w:rPr>
                      <w:szCs w:val="21"/>
                    </w:rPr>
                    <w:t>pH</w:t>
                  </w:r>
                  <w:r>
                    <w:rPr>
                      <w:rFonts w:hAnsi="宋体"/>
                      <w:szCs w:val="21"/>
                    </w:rPr>
                    <w:t>值</w:t>
                  </w:r>
                </w:p>
              </w:tc>
              <w:tc>
                <w:tcPr>
                  <w:tcW w:w="1149" w:type="dxa"/>
                  <w:vAlign w:val="center"/>
                </w:tcPr>
                <w:p>
                  <w:pPr>
                    <w:widowControl/>
                    <w:spacing w:line="320" w:lineRule="atLeast"/>
                    <w:jc w:val="center"/>
                    <w:rPr>
                      <w:kern w:val="0"/>
                      <w:szCs w:val="21"/>
                    </w:rPr>
                  </w:pPr>
                  <w:r>
                    <w:rPr>
                      <w:rFonts w:hint="eastAsia"/>
                      <w:kern w:val="0"/>
                      <w:szCs w:val="21"/>
                    </w:rPr>
                    <w:t>7.93</w:t>
                  </w:r>
                </w:p>
              </w:tc>
              <w:tc>
                <w:tcPr>
                  <w:tcW w:w="1147" w:type="dxa"/>
                  <w:vAlign w:val="center"/>
                </w:tcPr>
                <w:p>
                  <w:pPr>
                    <w:widowControl/>
                    <w:spacing w:line="320" w:lineRule="atLeast"/>
                    <w:jc w:val="center"/>
                    <w:rPr>
                      <w:kern w:val="0"/>
                      <w:szCs w:val="21"/>
                    </w:rPr>
                  </w:pPr>
                  <w:r>
                    <w:rPr>
                      <w:rFonts w:hint="eastAsia"/>
                      <w:kern w:val="0"/>
                      <w:szCs w:val="21"/>
                    </w:rPr>
                    <w:t>7.29</w:t>
                  </w:r>
                </w:p>
              </w:tc>
              <w:tc>
                <w:tcPr>
                  <w:tcW w:w="1149" w:type="dxa"/>
                  <w:vAlign w:val="center"/>
                </w:tcPr>
                <w:p>
                  <w:pPr>
                    <w:widowControl/>
                    <w:spacing w:line="320" w:lineRule="atLeast"/>
                    <w:jc w:val="center"/>
                    <w:rPr>
                      <w:kern w:val="0"/>
                      <w:szCs w:val="21"/>
                    </w:rPr>
                  </w:pPr>
                  <w:r>
                    <w:rPr>
                      <w:rFonts w:hint="eastAsia"/>
                      <w:kern w:val="0"/>
                      <w:szCs w:val="21"/>
                    </w:rPr>
                    <w:t>7.60</w:t>
                  </w:r>
                </w:p>
              </w:tc>
              <w:tc>
                <w:tcPr>
                  <w:tcW w:w="1095" w:type="dxa"/>
                  <w:vAlign w:val="center"/>
                </w:tcPr>
                <w:p>
                  <w:pPr>
                    <w:widowControl/>
                    <w:spacing w:line="320" w:lineRule="atLeast"/>
                    <w:jc w:val="center"/>
                    <w:rPr>
                      <w:kern w:val="0"/>
                      <w:szCs w:val="21"/>
                    </w:rPr>
                  </w:pPr>
                  <w:r>
                    <w:rPr>
                      <w:kern w:val="0"/>
                      <w:szCs w:val="21"/>
                    </w:rPr>
                    <w:t>0</w:t>
                  </w:r>
                </w:p>
              </w:tc>
              <w:tc>
                <w:tcPr>
                  <w:tcW w:w="1374" w:type="dxa"/>
                  <w:vAlign w:val="center"/>
                </w:tcPr>
                <w:p>
                  <w:pPr>
                    <w:widowControl/>
                    <w:spacing w:line="320" w:lineRule="atLeast"/>
                    <w:jc w:val="center"/>
                    <w:rPr>
                      <w:kern w:val="0"/>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rFonts w:hAnsi="宋体"/>
                      <w:szCs w:val="21"/>
                    </w:rPr>
                  </w:pPr>
                </w:p>
              </w:tc>
              <w:tc>
                <w:tcPr>
                  <w:tcW w:w="1886" w:type="dxa"/>
                  <w:vAlign w:val="center"/>
                </w:tcPr>
                <w:p>
                  <w:pPr>
                    <w:widowControl/>
                    <w:spacing w:line="320" w:lineRule="atLeast"/>
                    <w:jc w:val="center"/>
                    <w:rPr>
                      <w:kern w:val="0"/>
                      <w:szCs w:val="21"/>
                    </w:rPr>
                  </w:pPr>
                  <w:r>
                    <w:rPr>
                      <w:rFonts w:hAnsi="宋体"/>
                      <w:szCs w:val="21"/>
                    </w:rPr>
                    <w:t>高锰酸盐指数</w:t>
                  </w:r>
                </w:p>
              </w:tc>
              <w:tc>
                <w:tcPr>
                  <w:tcW w:w="1149" w:type="dxa"/>
                  <w:vAlign w:val="center"/>
                </w:tcPr>
                <w:p>
                  <w:pPr>
                    <w:widowControl/>
                    <w:spacing w:line="320" w:lineRule="atLeast"/>
                    <w:jc w:val="center"/>
                    <w:rPr>
                      <w:kern w:val="0"/>
                      <w:szCs w:val="21"/>
                    </w:rPr>
                  </w:pPr>
                  <w:r>
                    <w:rPr>
                      <w:rFonts w:hint="eastAsia"/>
                      <w:kern w:val="0"/>
                      <w:szCs w:val="21"/>
                    </w:rPr>
                    <w:t>3.4</w:t>
                  </w:r>
                </w:p>
              </w:tc>
              <w:tc>
                <w:tcPr>
                  <w:tcW w:w="1147" w:type="dxa"/>
                  <w:vAlign w:val="center"/>
                </w:tcPr>
                <w:p>
                  <w:pPr>
                    <w:widowControl/>
                    <w:spacing w:line="320" w:lineRule="atLeast"/>
                    <w:jc w:val="center"/>
                    <w:rPr>
                      <w:kern w:val="0"/>
                      <w:szCs w:val="21"/>
                    </w:rPr>
                  </w:pPr>
                  <w:r>
                    <w:rPr>
                      <w:rFonts w:hint="eastAsia"/>
                      <w:kern w:val="0"/>
                      <w:szCs w:val="21"/>
                    </w:rPr>
                    <w:t>1.5</w:t>
                  </w:r>
                </w:p>
              </w:tc>
              <w:tc>
                <w:tcPr>
                  <w:tcW w:w="1149" w:type="dxa"/>
                  <w:vAlign w:val="center"/>
                </w:tcPr>
                <w:p>
                  <w:pPr>
                    <w:widowControl/>
                    <w:spacing w:line="320" w:lineRule="atLeast"/>
                    <w:jc w:val="center"/>
                    <w:rPr>
                      <w:kern w:val="0"/>
                      <w:szCs w:val="21"/>
                    </w:rPr>
                  </w:pPr>
                  <w:r>
                    <w:rPr>
                      <w:rFonts w:hint="eastAsia"/>
                      <w:kern w:val="0"/>
                      <w:szCs w:val="21"/>
                    </w:rPr>
                    <w:t>2.4</w:t>
                  </w:r>
                </w:p>
              </w:tc>
              <w:tc>
                <w:tcPr>
                  <w:tcW w:w="1095" w:type="dxa"/>
                  <w:vAlign w:val="center"/>
                </w:tcPr>
                <w:p>
                  <w:pPr>
                    <w:widowControl/>
                    <w:spacing w:line="320" w:lineRule="atLeast"/>
                    <w:jc w:val="center"/>
                    <w:rPr>
                      <w:kern w:val="0"/>
                      <w:szCs w:val="21"/>
                    </w:rPr>
                  </w:pPr>
                  <w:r>
                    <w:rPr>
                      <w:szCs w:val="21"/>
                    </w:rPr>
                    <w:t>0</w:t>
                  </w:r>
                </w:p>
              </w:tc>
              <w:tc>
                <w:tcPr>
                  <w:tcW w:w="1374" w:type="dxa"/>
                  <w:vAlign w:val="center"/>
                </w:tcPr>
                <w:p>
                  <w:pPr>
                    <w:spacing w:line="320" w:lineRule="atLeast"/>
                    <w:jc w:val="center"/>
                    <w:rPr>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rFonts w:hAnsi="宋体"/>
                      <w:szCs w:val="21"/>
                    </w:rPr>
                  </w:pPr>
                </w:p>
              </w:tc>
              <w:tc>
                <w:tcPr>
                  <w:tcW w:w="1886" w:type="dxa"/>
                  <w:vAlign w:val="center"/>
                </w:tcPr>
                <w:p>
                  <w:pPr>
                    <w:widowControl/>
                    <w:spacing w:line="320" w:lineRule="atLeast"/>
                    <w:jc w:val="center"/>
                    <w:rPr>
                      <w:kern w:val="0"/>
                      <w:szCs w:val="21"/>
                    </w:rPr>
                  </w:pPr>
                  <w:r>
                    <w:rPr>
                      <w:rFonts w:hAnsi="宋体"/>
                      <w:szCs w:val="21"/>
                    </w:rPr>
                    <w:t>化学需氧量</w:t>
                  </w:r>
                </w:p>
              </w:tc>
              <w:tc>
                <w:tcPr>
                  <w:tcW w:w="1149" w:type="dxa"/>
                  <w:vAlign w:val="center"/>
                </w:tcPr>
                <w:p>
                  <w:pPr>
                    <w:widowControl/>
                    <w:spacing w:line="320" w:lineRule="atLeast"/>
                    <w:jc w:val="center"/>
                    <w:rPr>
                      <w:kern w:val="0"/>
                      <w:szCs w:val="21"/>
                    </w:rPr>
                  </w:pPr>
                  <w:r>
                    <w:rPr>
                      <w:rFonts w:hint="eastAsia"/>
                      <w:kern w:val="0"/>
                      <w:szCs w:val="21"/>
                    </w:rPr>
                    <w:t>13</w:t>
                  </w:r>
                </w:p>
              </w:tc>
              <w:tc>
                <w:tcPr>
                  <w:tcW w:w="1147" w:type="dxa"/>
                  <w:vAlign w:val="center"/>
                </w:tcPr>
                <w:p>
                  <w:pPr>
                    <w:widowControl/>
                    <w:spacing w:line="320" w:lineRule="atLeast"/>
                    <w:jc w:val="center"/>
                    <w:rPr>
                      <w:kern w:val="0"/>
                      <w:szCs w:val="21"/>
                    </w:rPr>
                  </w:pPr>
                  <w:r>
                    <w:rPr>
                      <w:rFonts w:hint="eastAsia"/>
                      <w:kern w:val="0"/>
                      <w:szCs w:val="21"/>
                    </w:rPr>
                    <w:t>3</w:t>
                  </w:r>
                </w:p>
              </w:tc>
              <w:tc>
                <w:tcPr>
                  <w:tcW w:w="1149" w:type="dxa"/>
                  <w:vAlign w:val="center"/>
                </w:tcPr>
                <w:p>
                  <w:pPr>
                    <w:widowControl/>
                    <w:spacing w:line="320" w:lineRule="atLeast"/>
                    <w:jc w:val="center"/>
                    <w:rPr>
                      <w:kern w:val="0"/>
                      <w:szCs w:val="21"/>
                    </w:rPr>
                  </w:pPr>
                  <w:r>
                    <w:rPr>
                      <w:rFonts w:hint="eastAsia"/>
                      <w:kern w:val="0"/>
                      <w:szCs w:val="21"/>
                    </w:rPr>
                    <w:t>7</w:t>
                  </w:r>
                </w:p>
              </w:tc>
              <w:tc>
                <w:tcPr>
                  <w:tcW w:w="1095" w:type="dxa"/>
                  <w:vAlign w:val="center"/>
                </w:tcPr>
                <w:p>
                  <w:pPr>
                    <w:widowControl/>
                    <w:spacing w:line="320" w:lineRule="atLeast"/>
                    <w:jc w:val="center"/>
                    <w:rPr>
                      <w:kern w:val="0"/>
                      <w:szCs w:val="21"/>
                    </w:rPr>
                  </w:pPr>
                  <w:r>
                    <w:rPr>
                      <w:szCs w:val="21"/>
                    </w:rPr>
                    <w:t>0</w:t>
                  </w:r>
                </w:p>
              </w:tc>
              <w:tc>
                <w:tcPr>
                  <w:tcW w:w="1374" w:type="dxa"/>
                  <w:vAlign w:val="center"/>
                </w:tcPr>
                <w:p>
                  <w:pPr>
                    <w:spacing w:line="320" w:lineRule="atLeast"/>
                    <w:jc w:val="center"/>
                    <w:rPr>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rFonts w:hAnsi="宋体"/>
                      <w:szCs w:val="21"/>
                    </w:rPr>
                  </w:pPr>
                </w:p>
              </w:tc>
              <w:tc>
                <w:tcPr>
                  <w:tcW w:w="1886" w:type="dxa"/>
                  <w:vAlign w:val="center"/>
                </w:tcPr>
                <w:p>
                  <w:pPr>
                    <w:widowControl/>
                    <w:spacing w:line="320" w:lineRule="atLeast"/>
                    <w:jc w:val="center"/>
                    <w:rPr>
                      <w:kern w:val="0"/>
                      <w:szCs w:val="21"/>
                    </w:rPr>
                  </w:pPr>
                  <w:r>
                    <w:rPr>
                      <w:rFonts w:hAnsi="宋体"/>
                      <w:szCs w:val="21"/>
                    </w:rPr>
                    <w:t>五日生化需氧量</w:t>
                  </w:r>
                </w:p>
              </w:tc>
              <w:tc>
                <w:tcPr>
                  <w:tcW w:w="1149" w:type="dxa"/>
                  <w:vAlign w:val="center"/>
                </w:tcPr>
                <w:p>
                  <w:pPr>
                    <w:widowControl/>
                    <w:spacing w:line="320" w:lineRule="atLeast"/>
                    <w:jc w:val="center"/>
                    <w:rPr>
                      <w:kern w:val="0"/>
                      <w:szCs w:val="21"/>
                    </w:rPr>
                  </w:pPr>
                  <w:r>
                    <w:rPr>
                      <w:rFonts w:hint="eastAsia"/>
                      <w:kern w:val="0"/>
                      <w:szCs w:val="21"/>
                    </w:rPr>
                    <w:t>3</w:t>
                  </w:r>
                </w:p>
              </w:tc>
              <w:tc>
                <w:tcPr>
                  <w:tcW w:w="1147" w:type="dxa"/>
                  <w:vAlign w:val="center"/>
                </w:tcPr>
                <w:p>
                  <w:pPr>
                    <w:widowControl/>
                    <w:spacing w:line="320" w:lineRule="atLeast"/>
                    <w:jc w:val="center"/>
                    <w:rPr>
                      <w:kern w:val="0"/>
                      <w:szCs w:val="21"/>
                    </w:rPr>
                  </w:pPr>
                  <w:r>
                    <w:rPr>
                      <w:rFonts w:hint="eastAsia"/>
                      <w:kern w:val="0"/>
                      <w:szCs w:val="21"/>
                    </w:rPr>
                    <w:t>1</w:t>
                  </w:r>
                </w:p>
              </w:tc>
              <w:tc>
                <w:tcPr>
                  <w:tcW w:w="1149" w:type="dxa"/>
                  <w:vAlign w:val="center"/>
                </w:tcPr>
                <w:p>
                  <w:pPr>
                    <w:widowControl/>
                    <w:spacing w:line="320" w:lineRule="atLeast"/>
                    <w:jc w:val="center"/>
                    <w:rPr>
                      <w:kern w:val="0"/>
                      <w:szCs w:val="21"/>
                    </w:rPr>
                  </w:pPr>
                  <w:r>
                    <w:rPr>
                      <w:rFonts w:hint="eastAsia"/>
                      <w:kern w:val="0"/>
                      <w:szCs w:val="21"/>
                    </w:rPr>
                    <w:t>1</w:t>
                  </w:r>
                </w:p>
              </w:tc>
              <w:tc>
                <w:tcPr>
                  <w:tcW w:w="1095" w:type="dxa"/>
                  <w:vAlign w:val="center"/>
                </w:tcPr>
                <w:p>
                  <w:pPr>
                    <w:widowControl/>
                    <w:spacing w:line="320" w:lineRule="atLeast"/>
                    <w:jc w:val="center"/>
                    <w:rPr>
                      <w:kern w:val="0"/>
                      <w:szCs w:val="21"/>
                    </w:rPr>
                  </w:pPr>
                  <w:r>
                    <w:rPr>
                      <w:szCs w:val="21"/>
                    </w:rPr>
                    <w:t>0</w:t>
                  </w:r>
                </w:p>
              </w:tc>
              <w:tc>
                <w:tcPr>
                  <w:tcW w:w="1374" w:type="dxa"/>
                  <w:vAlign w:val="center"/>
                </w:tcPr>
                <w:p>
                  <w:pPr>
                    <w:spacing w:line="320" w:lineRule="atLeast"/>
                    <w:jc w:val="center"/>
                    <w:rPr>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rFonts w:hAnsi="宋体"/>
                      <w:szCs w:val="21"/>
                    </w:rPr>
                  </w:pPr>
                </w:p>
              </w:tc>
              <w:tc>
                <w:tcPr>
                  <w:tcW w:w="1886" w:type="dxa"/>
                  <w:vAlign w:val="center"/>
                </w:tcPr>
                <w:p>
                  <w:pPr>
                    <w:widowControl/>
                    <w:spacing w:line="320" w:lineRule="atLeast"/>
                    <w:jc w:val="center"/>
                    <w:rPr>
                      <w:kern w:val="0"/>
                      <w:szCs w:val="21"/>
                    </w:rPr>
                  </w:pPr>
                  <w:r>
                    <w:rPr>
                      <w:rFonts w:hAnsi="宋体"/>
                      <w:szCs w:val="21"/>
                    </w:rPr>
                    <w:t>氨氮</w:t>
                  </w:r>
                </w:p>
              </w:tc>
              <w:tc>
                <w:tcPr>
                  <w:tcW w:w="1149" w:type="dxa"/>
                  <w:vAlign w:val="center"/>
                </w:tcPr>
                <w:p>
                  <w:pPr>
                    <w:widowControl/>
                    <w:spacing w:line="320" w:lineRule="atLeast"/>
                    <w:jc w:val="center"/>
                    <w:rPr>
                      <w:kern w:val="0"/>
                      <w:szCs w:val="21"/>
                    </w:rPr>
                  </w:pPr>
                  <w:r>
                    <w:rPr>
                      <w:rFonts w:hint="eastAsia"/>
                      <w:kern w:val="0"/>
                      <w:szCs w:val="21"/>
                    </w:rPr>
                    <w:t>0.638</w:t>
                  </w:r>
                </w:p>
              </w:tc>
              <w:tc>
                <w:tcPr>
                  <w:tcW w:w="1147" w:type="dxa"/>
                  <w:vAlign w:val="center"/>
                </w:tcPr>
                <w:p>
                  <w:pPr>
                    <w:widowControl/>
                    <w:spacing w:line="320" w:lineRule="atLeast"/>
                    <w:jc w:val="center"/>
                    <w:rPr>
                      <w:kern w:val="0"/>
                      <w:szCs w:val="21"/>
                    </w:rPr>
                  </w:pPr>
                  <w:r>
                    <w:rPr>
                      <w:rFonts w:hint="eastAsia"/>
                      <w:kern w:val="0"/>
                      <w:szCs w:val="21"/>
                    </w:rPr>
                    <w:t>0.078</w:t>
                  </w:r>
                </w:p>
              </w:tc>
              <w:tc>
                <w:tcPr>
                  <w:tcW w:w="1149" w:type="dxa"/>
                  <w:vAlign w:val="center"/>
                </w:tcPr>
                <w:p>
                  <w:pPr>
                    <w:widowControl/>
                    <w:spacing w:line="320" w:lineRule="atLeast"/>
                    <w:jc w:val="center"/>
                    <w:rPr>
                      <w:kern w:val="0"/>
                      <w:szCs w:val="21"/>
                    </w:rPr>
                  </w:pPr>
                  <w:r>
                    <w:rPr>
                      <w:rFonts w:hint="eastAsia"/>
                      <w:kern w:val="0"/>
                      <w:szCs w:val="21"/>
                    </w:rPr>
                    <w:t>0.231</w:t>
                  </w:r>
                </w:p>
              </w:tc>
              <w:tc>
                <w:tcPr>
                  <w:tcW w:w="1095" w:type="dxa"/>
                  <w:vAlign w:val="center"/>
                </w:tcPr>
                <w:p>
                  <w:pPr>
                    <w:widowControl/>
                    <w:spacing w:line="320" w:lineRule="atLeast"/>
                    <w:jc w:val="center"/>
                    <w:rPr>
                      <w:kern w:val="0"/>
                      <w:szCs w:val="21"/>
                    </w:rPr>
                  </w:pPr>
                  <w:r>
                    <w:rPr>
                      <w:kern w:val="0"/>
                      <w:szCs w:val="21"/>
                    </w:rPr>
                    <w:t>0</w:t>
                  </w:r>
                </w:p>
              </w:tc>
              <w:tc>
                <w:tcPr>
                  <w:tcW w:w="1374" w:type="dxa"/>
                  <w:vAlign w:val="center"/>
                </w:tcPr>
                <w:p>
                  <w:pPr>
                    <w:spacing w:line="320" w:lineRule="atLeast"/>
                    <w:jc w:val="center"/>
                    <w:rPr>
                      <w:szCs w:val="21"/>
                    </w:rPr>
                  </w:pPr>
                  <w:r>
                    <w:rPr>
                      <w:szCs w:val="21"/>
                    </w:rPr>
                    <w:t>/</w:t>
                  </w:r>
                </w:p>
              </w:tc>
              <w:tc>
                <w:tcPr>
                  <w:tcW w:w="947" w:type="dxa"/>
                  <w:vAlign w:val="center"/>
                </w:tcPr>
                <w:p>
                  <w:pPr>
                    <w:widowControl/>
                    <w:spacing w:line="320" w:lineRule="atLeast"/>
                    <w:jc w:val="center"/>
                    <w:rPr>
                      <w:kern w:val="0"/>
                      <w:szCs w:val="21"/>
                    </w:rPr>
                  </w:pPr>
                  <w:r>
                    <w:rPr>
                      <w:kern w:val="0"/>
                      <w:szCs w:val="21"/>
                    </w:rPr>
                    <w:t>1.</w:t>
                  </w:r>
                  <w:r>
                    <w:rPr>
                      <w:rFonts w:hint="eastAsia"/>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rFonts w:hAnsi="宋体"/>
                      <w:szCs w:val="21"/>
                    </w:rPr>
                  </w:pPr>
                </w:p>
              </w:tc>
              <w:tc>
                <w:tcPr>
                  <w:tcW w:w="1886" w:type="dxa"/>
                  <w:vAlign w:val="center"/>
                </w:tcPr>
                <w:p>
                  <w:pPr>
                    <w:widowControl/>
                    <w:spacing w:line="320" w:lineRule="atLeast"/>
                    <w:jc w:val="center"/>
                    <w:rPr>
                      <w:kern w:val="0"/>
                      <w:szCs w:val="21"/>
                    </w:rPr>
                  </w:pPr>
                  <w:r>
                    <w:rPr>
                      <w:rFonts w:hAnsi="宋体"/>
                      <w:szCs w:val="21"/>
                    </w:rPr>
                    <w:t>总磷</w:t>
                  </w:r>
                </w:p>
              </w:tc>
              <w:tc>
                <w:tcPr>
                  <w:tcW w:w="1149" w:type="dxa"/>
                  <w:vAlign w:val="center"/>
                </w:tcPr>
                <w:p>
                  <w:pPr>
                    <w:widowControl/>
                    <w:spacing w:line="320" w:lineRule="atLeast"/>
                    <w:jc w:val="center"/>
                    <w:rPr>
                      <w:kern w:val="0"/>
                      <w:szCs w:val="21"/>
                    </w:rPr>
                  </w:pPr>
                  <w:r>
                    <w:rPr>
                      <w:rFonts w:hint="eastAsia"/>
                      <w:kern w:val="0"/>
                      <w:szCs w:val="21"/>
                    </w:rPr>
                    <w:t>0.10</w:t>
                  </w:r>
                </w:p>
              </w:tc>
              <w:tc>
                <w:tcPr>
                  <w:tcW w:w="1147" w:type="dxa"/>
                  <w:vAlign w:val="center"/>
                </w:tcPr>
                <w:p>
                  <w:pPr>
                    <w:widowControl/>
                    <w:spacing w:line="320" w:lineRule="atLeast"/>
                    <w:jc w:val="center"/>
                    <w:rPr>
                      <w:kern w:val="0"/>
                      <w:szCs w:val="21"/>
                    </w:rPr>
                  </w:pPr>
                  <w:r>
                    <w:rPr>
                      <w:rFonts w:hint="eastAsia"/>
                      <w:kern w:val="0"/>
                      <w:szCs w:val="21"/>
                    </w:rPr>
                    <w:t>0.04</w:t>
                  </w:r>
                </w:p>
              </w:tc>
              <w:tc>
                <w:tcPr>
                  <w:tcW w:w="1149" w:type="dxa"/>
                  <w:vAlign w:val="center"/>
                </w:tcPr>
                <w:p>
                  <w:pPr>
                    <w:widowControl/>
                    <w:spacing w:line="320" w:lineRule="atLeast"/>
                    <w:jc w:val="center"/>
                    <w:rPr>
                      <w:kern w:val="0"/>
                      <w:szCs w:val="21"/>
                    </w:rPr>
                  </w:pPr>
                  <w:r>
                    <w:rPr>
                      <w:rFonts w:hint="eastAsia"/>
                      <w:kern w:val="0"/>
                      <w:szCs w:val="21"/>
                    </w:rPr>
                    <w:t>0.066</w:t>
                  </w:r>
                </w:p>
              </w:tc>
              <w:tc>
                <w:tcPr>
                  <w:tcW w:w="1095" w:type="dxa"/>
                  <w:vAlign w:val="center"/>
                </w:tcPr>
                <w:p>
                  <w:pPr>
                    <w:widowControl/>
                    <w:spacing w:line="320" w:lineRule="atLeast"/>
                    <w:jc w:val="center"/>
                    <w:rPr>
                      <w:kern w:val="0"/>
                      <w:szCs w:val="21"/>
                    </w:rPr>
                  </w:pPr>
                  <w:r>
                    <w:rPr>
                      <w:szCs w:val="21"/>
                    </w:rPr>
                    <w:t>0</w:t>
                  </w:r>
                </w:p>
              </w:tc>
              <w:tc>
                <w:tcPr>
                  <w:tcW w:w="1374" w:type="dxa"/>
                  <w:vAlign w:val="center"/>
                </w:tcPr>
                <w:p>
                  <w:pPr>
                    <w:spacing w:line="320" w:lineRule="atLeast"/>
                    <w:jc w:val="center"/>
                    <w:rPr>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rFonts w:hAnsi="宋体"/>
                      <w:szCs w:val="21"/>
                    </w:rPr>
                  </w:pPr>
                </w:p>
              </w:tc>
              <w:tc>
                <w:tcPr>
                  <w:tcW w:w="1886" w:type="dxa"/>
                  <w:vAlign w:val="center"/>
                </w:tcPr>
                <w:p>
                  <w:pPr>
                    <w:widowControl/>
                    <w:spacing w:line="320" w:lineRule="atLeast"/>
                    <w:jc w:val="center"/>
                    <w:rPr>
                      <w:szCs w:val="21"/>
                    </w:rPr>
                  </w:pPr>
                  <w:r>
                    <w:rPr>
                      <w:rFonts w:hAnsi="宋体"/>
                      <w:szCs w:val="21"/>
                    </w:rPr>
                    <w:t>石油类</w:t>
                  </w:r>
                </w:p>
              </w:tc>
              <w:tc>
                <w:tcPr>
                  <w:tcW w:w="1149" w:type="dxa"/>
                  <w:vAlign w:val="center"/>
                </w:tcPr>
                <w:p>
                  <w:pPr>
                    <w:widowControl/>
                    <w:spacing w:line="320" w:lineRule="atLeast"/>
                    <w:jc w:val="center"/>
                    <w:rPr>
                      <w:szCs w:val="21"/>
                    </w:rPr>
                  </w:pPr>
                  <w:r>
                    <w:rPr>
                      <w:rFonts w:hint="eastAsia"/>
                      <w:szCs w:val="21"/>
                    </w:rPr>
                    <w:t>0.005</w:t>
                  </w:r>
                </w:p>
              </w:tc>
              <w:tc>
                <w:tcPr>
                  <w:tcW w:w="1147" w:type="dxa"/>
                  <w:vAlign w:val="center"/>
                </w:tcPr>
                <w:p>
                  <w:pPr>
                    <w:widowControl/>
                    <w:spacing w:line="320" w:lineRule="atLeast"/>
                    <w:jc w:val="center"/>
                    <w:rPr>
                      <w:szCs w:val="21"/>
                    </w:rPr>
                  </w:pPr>
                  <w:r>
                    <w:rPr>
                      <w:rFonts w:hint="eastAsia"/>
                      <w:szCs w:val="21"/>
                    </w:rPr>
                    <w:t>0.005</w:t>
                  </w:r>
                </w:p>
              </w:tc>
              <w:tc>
                <w:tcPr>
                  <w:tcW w:w="1149" w:type="dxa"/>
                  <w:vAlign w:val="center"/>
                </w:tcPr>
                <w:p>
                  <w:pPr>
                    <w:widowControl/>
                    <w:spacing w:line="320" w:lineRule="atLeast"/>
                    <w:jc w:val="center"/>
                    <w:rPr>
                      <w:szCs w:val="21"/>
                    </w:rPr>
                  </w:pPr>
                  <w:r>
                    <w:rPr>
                      <w:rFonts w:hint="eastAsia"/>
                      <w:szCs w:val="21"/>
                    </w:rPr>
                    <w:t>0.005</w:t>
                  </w:r>
                </w:p>
              </w:tc>
              <w:tc>
                <w:tcPr>
                  <w:tcW w:w="1095" w:type="dxa"/>
                  <w:vAlign w:val="center"/>
                </w:tcPr>
                <w:p>
                  <w:pPr>
                    <w:widowControl/>
                    <w:spacing w:line="320" w:lineRule="atLeast"/>
                    <w:jc w:val="center"/>
                    <w:rPr>
                      <w:szCs w:val="21"/>
                    </w:rPr>
                  </w:pPr>
                  <w:r>
                    <w:rPr>
                      <w:szCs w:val="21"/>
                    </w:rPr>
                    <w:t>0</w:t>
                  </w:r>
                </w:p>
              </w:tc>
              <w:tc>
                <w:tcPr>
                  <w:tcW w:w="1374" w:type="dxa"/>
                  <w:vAlign w:val="center"/>
                </w:tcPr>
                <w:p>
                  <w:pPr>
                    <w:widowControl/>
                    <w:spacing w:line="320" w:lineRule="atLeast"/>
                    <w:jc w:val="center"/>
                    <w:rPr>
                      <w:szCs w:val="21"/>
                    </w:rPr>
                  </w:pPr>
                  <w:r>
                    <w:rPr>
                      <w:kern w:val="0"/>
                      <w:szCs w:val="21"/>
                    </w:rPr>
                    <w:t>/</w:t>
                  </w:r>
                </w:p>
              </w:tc>
              <w:tc>
                <w:tcPr>
                  <w:tcW w:w="947" w:type="dxa"/>
                  <w:vAlign w:val="center"/>
                </w:tcPr>
                <w:p>
                  <w:pPr>
                    <w:widowControl/>
                    <w:spacing w:line="320" w:lineRule="atLeast"/>
                    <w:jc w:val="center"/>
                    <w:rPr>
                      <w:szCs w:val="21"/>
                    </w:rPr>
                  </w:pPr>
                  <w:r>
                    <w:rPr>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rFonts w:hAnsi="宋体"/>
                      <w:szCs w:val="21"/>
                    </w:rPr>
                  </w:pPr>
                </w:p>
              </w:tc>
              <w:tc>
                <w:tcPr>
                  <w:tcW w:w="1886" w:type="dxa"/>
                  <w:vAlign w:val="center"/>
                </w:tcPr>
                <w:p>
                  <w:pPr>
                    <w:widowControl/>
                    <w:spacing w:line="320" w:lineRule="atLeast"/>
                    <w:jc w:val="center"/>
                    <w:rPr>
                      <w:szCs w:val="21"/>
                    </w:rPr>
                  </w:pPr>
                  <w:r>
                    <w:rPr>
                      <w:rFonts w:hAnsi="宋体"/>
                      <w:szCs w:val="21"/>
                    </w:rPr>
                    <w:t>阴离子洗涤剂</w:t>
                  </w:r>
                </w:p>
              </w:tc>
              <w:tc>
                <w:tcPr>
                  <w:tcW w:w="1149" w:type="dxa"/>
                  <w:vAlign w:val="center"/>
                </w:tcPr>
                <w:p>
                  <w:pPr>
                    <w:widowControl/>
                    <w:spacing w:line="320" w:lineRule="atLeast"/>
                    <w:jc w:val="center"/>
                    <w:rPr>
                      <w:szCs w:val="21"/>
                    </w:rPr>
                  </w:pPr>
                  <w:r>
                    <w:rPr>
                      <w:rFonts w:hint="eastAsia"/>
                      <w:szCs w:val="21"/>
                    </w:rPr>
                    <w:t>0.04</w:t>
                  </w:r>
                </w:p>
              </w:tc>
              <w:tc>
                <w:tcPr>
                  <w:tcW w:w="1147" w:type="dxa"/>
                  <w:vAlign w:val="center"/>
                </w:tcPr>
                <w:p>
                  <w:pPr>
                    <w:widowControl/>
                    <w:spacing w:line="320" w:lineRule="atLeast"/>
                    <w:jc w:val="center"/>
                    <w:rPr>
                      <w:szCs w:val="21"/>
                    </w:rPr>
                  </w:pPr>
                  <w:r>
                    <w:rPr>
                      <w:rFonts w:hint="eastAsia"/>
                      <w:szCs w:val="21"/>
                    </w:rPr>
                    <w:t>0.01</w:t>
                  </w:r>
                </w:p>
              </w:tc>
              <w:tc>
                <w:tcPr>
                  <w:tcW w:w="1149" w:type="dxa"/>
                  <w:vAlign w:val="center"/>
                </w:tcPr>
                <w:p>
                  <w:pPr>
                    <w:widowControl/>
                    <w:spacing w:line="320" w:lineRule="atLeast"/>
                    <w:jc w:val="center"/>
                    <w:rPr>
                      <w:szCs w:val="21"/>
                    </w:rPr>
                  </w:pPr>
                  <w:r>
                    <w:rPr>
                      <w:rFonts w:hint="eastAsia"/>
                      <w:szCs w:val="21"/>
                    </w:rPr>
                    <w:t>0.03</w:t>
                  </w:r>
                </w:p>
              </w:tc>
              <w:tc>
                <w:tcPr>
                  <w:tcW w:w="1095" w:type="dxa"/>
                  <w:vAlign w:val="center"/>
                </w:tcPr>
                <w:p>
                  <w:pPr>
                    <w:widowControl/>
                    <w:spacing w:line="320" w:lineRule="atLeast"/>
                    <w:jc w:val="center"/>
                    <w:rPr>
                      <w:szCs w:val="21"/>
                    </w:rPr>
                  </w:pPr>
                  <w:r>
                    <w:rPr>
                      <w:szCs w:val="21"/>
                    </w:rPr>
                    <w:t>0</w:t>
                  </w:r>
                </w:p>
              </w:tc>
              <w:tc>
                <w:tcPr>
                  <w:tcW w:w="1374" w:type="dxa"/>
                  <w:vAlign w:val="center"/>
                </w:tcPr>
                <w:p>
                  <w:pPr>
                    <w:widowControl/>
                    <w:spacing w:line="320" w:lineRule="atLeast"/>
                    <w:jc w:val="center"/>
                    <w:rPr>
                      <w:kern w:val="0"/>
                      <w:szCs w:val="21"/>
                    </w:rPr>
                  </w:pPr>
                  <w:r>
                    <w:rPr>
                      <w:kern w:val="0"/>
                      <w:szCs w:val="21"/>
                    </w:rPr>
                    <w:t>/</w:t>
                  </w:r>
                </w:p>
              </w:tc>
              <w:tc>
                <w:tcPr>
                  <w:tcW w:w="947" w:type="dxa"/>
                  <w:vAlign w:val="center"/>
                </w:tcPr>
                <w:p>
                  <w:pPr>
                    <w:widowControl/>
                    <w:spacing w:line="320" w:lineRule="atLeast"/>
                    <w:jc w:val="center"/>
                    <w:rPr>
                      <w:szCs w:val="21"/>
                    </w:rPr>
                  </w:pPr>
                  <w:r>
                    <w:rPr>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rFonts w:hAnsi="宋体"/>
                      <w:szCs w:val="21"/>
                    </w:rPr>
                  </w:pPr>
                </w:p>
              </w:tc>
              <w:tc>
                <w:tcPr>
                  <w:tcW w:w="1886" w:type="dxa"/>
                  <w:vAlign w:val="center"/>
                </w:tcPr>
                <w:p>
                  <w:pPr>
                    <w:widowControl/>
                    <w:spacing w:line="320" w:lineRule="atLeast"/>
                    <w:jc w:val="center"/>
                    <w:rPr>
                      <w:szCs w:val="21"/>
                    </w:rPr>
                  </w:pPr>
                  <w:r>
                    <w:rPr>
                      <w:rFonts w:hAnsi="宋体"/>
                      <w:szCs w:val="21"/>
                    </w:rPr>
                    <w:t>硫化物</w:t>
                  </w:r>
                </w:p>
              </w:tc>
              <w:tc>
                <w:tcPr>
                  <w:tcW w:w="1149" w:type="dxa"/>
                  <w:vAlign w:val="center"/>
                </w:tcPr>
                <w:p>
                  <w:pPr>
                    <w:widowControl/>
                    <w:spacing w:line="320" w:lineRule="atLeast"/>
                    <w:jc w:val="center"/>
                    <w:rPr>
                      <w:szCs w:val="21"/>
                    </w:rPr>
                  </w:pPr>
                  <w:r>
                    <w:rPr>
                      <w:rFonts w:hint="eastAsia"/>
                      <w:szCs w:val="21"/>
                    </w:rPr>
                    <w:t>0.01</w:t>
                  </w:r>
                </w:p>
              </w:tc>
              <w:tc>
                <w:tcPr>
                  <w:tcW w:w="1147" w:type="dxa"/>
                  <w:vAlign w:val="center"/>
                </w:tcPr>
                <w:p>
                  <w:pPr>
                    <w:widowControl/>
                    <w:spacing w:line="320" w:lineRule="atLeast"/>
                    <w:jc w:val="center"/>
                    <w:rPr>
                      <w:szCs w:val="21"/>
                    </w:rPr>
                  </w:pPr>
                  <w:r>
                    <w:rPr>
                      <w:rFonts w:hint="eastAsia"/>
                      <w:szCs w:val="21"/>
                    </w:rPr>
                    <w:t>0.01</w:t>
                  </w:r>
                </w:p>
              </w:tc>
              <w:tc>
                <w:tcPr>
                  <w:tcW w:w="1149" w:type="dxa"/>
                  <w:vAlign w:val="center"/>
                </w:tcPr>
                <w:p>
                  <w:pPr>
                    <w:widowControl/>
                    <w:spacing w:line="320" w:lineRule="atLeast"/>
                    <w:jc w:val="center"/>
                    <w:rPr>
                      <w:szCs w:val="21"/>
                    </w:rPr>
                  </w:pPr>
                  <w:r>
                    <w:rPr>
                      <w:rFonts w:hint="eastAsia"/>
                      <w:szCs w:val="21"/>
                    </w:rPr>
                    <w:t>0.01</w:t>
                  </w:r>
                </w:p>
              </w:tc>
              <w:tc>
                <w:tcPr>
                  <w:tcW w:w="1095" w:type="dxa"/>
                  <w:vAlign w:val="center"/>
                </w:tcPr>
                <w:p>
                  <w:pPr>
                    <w:widowControl/>
                    <w:spacing w:line="320" w:lineRule="atLeast"/>
                    <w:jc w:val="center"/>
                    <w:rPr>
                      <w:szCs w:val="21"/>
                    </w:rPr>
                  </w:pPr>
                  <w:r>
                    <w:rPr>
                      <w:szCs w:val="21"/>
                    </w:rPr>
                    <w:t>0</w:t>
                  </w:r>
                </w:p>
              </w:tc>
              <w:tc>
                <w:tcPr>
                  <w:tcW w:w="1374" w:type="dxa"/>
                  <w:vAlign w:val="center"/>
                </w:tcPr>
                <w:p>
                  <w:pPr>
                    <w:widowControl/>
                    <w:spacing w:line="320" w:lineRule="atLeast"/>
                    <w:jc w:val="center"/>
                    <w:rPr>
                      <w:szCs w:val="21"/>
                    </w:rPr>
                  </w:pPr>
                  <w:r>
                    <w:rPr>
                      <w:kern w:val="0"/>
                      <w:szCs w:val="21"/>
                    </w:rPr>
                    <w:t>/</w:t>
                  </w:r>
                </w:p>
              </w:tc>
              <w:tc>
                <w:tcPr>
                  <w:tcW w:w="947" w:type="dxa"/>
                  <w:vAlign w:val="center"/>
                </w:tcPr>
                <w:p>
                  <w:pPr>
                    <w:widowControl/>
                    <w:spacing w:line="320" w:lineRule="atLeast"/>
                    <w:jc w:val="center"/>
                    <w:rPr>
                      <w:szCs w:val="21"/>
                    </w:rPr>
                  </w:pPr>
                  <w:r>
                    <w:rPr>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rFonts w:hAnsi="宋体"/>
                      <w:szCs w:val="21"/>
                    </w:rPr>
                  </w:pPr>
                </w:p>
              </w:tc>
              <w:tc>
                <w:tcPr>
                  <w:tcW w:w="1886" w:type="dxa"/>
                  <w:vAlign w:val="center"/>
                </w:tcPr>
                <w:p>
                  <w:pPr>
                    <w:widowControl/>
                    <w:spacing w:line="320" w:lineRule="atLeast"/>
                    <w:jc w:val="center"/>
                    <w:rPr>
                      <w:szCs w:val="21"/>
                    </w:rPr>
                  </w:pPr>
                  <w:r>
                    <w:rPr>
                      <w:rFonts w:hAnsi="宋体"/>
                      <w:szCs w:val="21"/>
                    </w:rPr>
                    <w:t>粪大肠菌群</w:t>
                  </w:r>
                </w:p>
              </w:tc>
              <w:tc>
                <w:tcPr>
                  <w:tcW w:w="1149" w:type="dxa"/>
                  <w:vAlign w:val="center"/>
                </w:tcPr>
                <w:p>
                  <w:pPr>
                    <w:widowControl/>
                    <w:spacing w:line="320" w:lineRule="atLeast"/>
                    <w:jc w:val="center"/>
                    <w:rPr>
                      <w:szCs w:val="21"/>
                    </w:rPr>
                  </w:pPr>
                  <w:r>
                    <w:rPr>
                      <w:rFonts w:hint="eastAsia"/>
                      <w:szCs w:val="21"/>
                    </w:rPr>
                    <w:t>92000</w:t>
                  </w:r>
                </w:p>
              </w:tc>
              <w:tc>
                <w:tcPr>
                  <w:tcW w:w="1147" w:type="dxa"/>
                  <w:vAlign w:val="center"/>
                </w:tcPr>
                <w:p>
                  <w:pPr>
                    <w:widowControl/>
                    <w:spacing w:line="320" w:lineRule="atLeast"/>
                    <w:jc w:val="center"/>
                    <w:rPr>
                      <w:szCs w:val="21"/>
                    </w:rPr>
                  </w:pPr>
                  <w:r>
                    <w:rPr>
                      <w:rFonts w:hint="eastAsia"/>
                      <w:szCs w:val="21"/>
                    </w:rPr>
                    <w:t>2000</w:t>
                  </w:r>
                </w:p>
              </w:tc>
              <w:tc>
                <w:tcPr>
                  <w:tcW w:w="1149" w:type="dxa"/>
                  <w:vAlign w:val="center"/>
                </w:tcPr>
                <w:p>
                  <w:pPr>
                    <w:widowControl/>
                    <w:spacing w:line="320" w:lineRule="atLeast"/>
                    <w:jc w:val="center"/>
                    <w:rPr>
                      <w:szCs w:val="21"/>
                    </w:rPr>
                  </w:pPr>
                  <w:r>
                    <w:rPr>
                      <w:rFonts w:hint="eastAsia"/>
                      <w:szCs w:val="21"/>
                    </w:rPr>
                    <w:t>11107</w:t>
                  </w:r>
                </w:p>
              </w:tc>
              <w:tc>
                <w:tcPr>
                  <w:tcW w:w="1095" w:type="dxa"/>
                  <w:vAlign w:val="center"/>
                </w:tcPr>
                <w:p>
                  <w:pPr>
                    <w:widowControl/>
                    <w:spacing w:line="320" w:lineRule="atLeast"/>
                    <w:jc w:val="center"/>
                    <w:rPr>
                      <w:szCs w:val="21"/>
                    </w:rPr>
                  </w:pPr>
                  <w:r>
                    <w:rPr>
                      <w:rFonts w:hint="eastAsia"/>
                      <w:szCs w:val="21"/>
                    </w:rPr>
                    <w:t>52.8</w:t>
                  </w:r>
                </w:p>
              </w:tc>
              <w:tc>
                <w:tcPr>
                  <w:tcW w:w="1374" w:type="dxa"/>
                  <w:vAlign w:val="center"/>
                </w:tcPr>
                <w:p>
                  <w:pPr>
                    <w:widowControl/>
                    <w:spacing w:line="320" w:lineRule="atLeast"/>
                    <w:jc w:val="center"/>
                    <w:rPr>
                      <w:kern w:val="0"/>
                      <w:szCs w:val="21"/>
                    </w:rPr>
                  </w:pPr>
                  <w:r>
                    <w:rPr>
                      <w:rFonts w:hint="eastAsia"/>
                      <w:kern w:val="0"/>
                      <w:szCs w:val="21"/>
                    </w:rPr>
                    <w:t>8.2</w:t>
                  </w:r>
                </w:p>
              </w:tc>
              <w:tc>
                <w:tcPr>
                  <w:tcW w:w="947" w:type="dxa"/>
                  <w:vAlign w:val="center"/>
                </w:tcPr>
                <w:p>
                  <w:pPr>
                    <w:widowControl/>
                    <w:spacing w:line="320" w:lineRule="atLeast"/>
                    <w:jc w:val="center"/>
                    <w:rPr>
                      <w:szCs w:val="21"/>
                    </w:rPr>
                  </w:pPr>
                  <w:r>
                    <w:rPr>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restart"/>
                  <w:vAlign w:val="center"/>
                </w:tcPr>
                <w:p>
                  <w:pPr>
                    <w:widowControl/>
                    <w:spacing w:line="320" w:lineRule="atLeast"/>
                    <w:jc w:val="center"/>
                    <w:rPr>
                      <w:rFonts w:hAnsi="宋体"/>
                      <w:szCs w:val="21"/>
                    </w:rPr>
                  </w:pPr>
                  <w:r>
                    <w:rPr>
                      <w:rFonts w:hAnsi="宋体"/>
                      <w:szCs w:val="21"/>
                    </w:rPr>
                    <w:t>易</w:t>
                  </w:r>
                </w:p>
                <w:p>
                  <w:pPr>
                    <w:widowControl/>
                    <w:spacing w:line="320" w:lineRule="atLeast"/>
                    <w:jc w:val="center"/>
                    <w:rPr>
                      <w:rFonts w:hAnsi="宋体"/>
                      <w:szCs w:val="21"/>
                    </w:rPr>
                  </w:pPr>
                  <w:r>
                    <w:rPr>
                      <w:rFonts w:hAnsi="宋体"/>
                      <w:szCs w:val="21"/>
                    </w:rPr>
                    <w:t>家</w:t>
                  </w:r>
                </w:p>
                <w:p>
                  <w:pPr>
                    <w:widowControl/>
                    <w:spacing w:line="320" w:lineRule="atLeast"/>
                    <w:jc w:val="center"/>
                    <w:rPr>
                      <w:rFonts w:hAnsi="宋体"/>
                      <w:szCs w:val="21"/>
                    </w:rPr>
                  </w:pPr>
                  <w:r>
                    <w:rPr>
                      <w:rFonts w:hAnsi="宋体"/>
                      <w:szCs w:val="21"/>
                    </w:rPr>
                    <w:t>湾</w:t>
                  </w:r>
                </w:p>
                <w:p>
                  <w:pPr>
                    <w:widowControl/>
                    <w:spacing w:line="320" w:lineRule="atLeast"/>
                    <w:jc w:val="center"/>
                    <w:rPr>
                      <w:rFonts w:hAnsi="宋体"/>
                      <w:szCs w:val="21"/>
                    </w:rPr>
                  </w:pPr>
                  <w:r>
                    <w:rPr>
                      <w:rFonts w:hAnsi="宋体"/>
                      <w:szCs w:val="21"/>
                    </w:rPr>
                    <w:t>断</w:t>
                  </w:r>
                </w:p>
                <w:p>
                  <w:pPr>
                    <w:widowControl/>
                    <w:spacing w:line="320" w:lineRule="atLeast"/>
                    <w:jc w:val="center"/>
                    <w:rPr>
                      <w:rFonts w:hAnsi="宋体"/>
                      <w:szCs w:val="21"/>
                    </w:rPr>
                  </w:pPr>
                  <w:r>
                    <w:rPr>
                      <w:rFonts w:hAnsi="宋体"/>
                      <w:szCs w:val="21"/>
                    </w:rPr>
                    <w:t>面</w:t>
                  </w:r>
                </w:p>
              </w:tc>
              <w:tc>
                <w:tcPr>
                  <w:tcW w:w="1886" w:type="dxa"/>
                  <w:vAlign w:val="center"/>
                </w:tcPr>
                <w:p>
                  <w:pPr>
                    <w:widowControl/>
                    <w:spacing w:line="320" w:lineRule="atLeast"/>
                    <w:jc w:val="center"/>
                    <w:rPr>
                      <w:kern w:val="0"/>
                      <w:szCs w:val="21"/>
                    </w:rPr>
                  </w:pPr>
                  <w:r>
                    <w:rPr>
                      <w:szCs w:val="21"/>
                    </w:rPr>
                    <w:t>pH</w:t>
                  </w:r>
                  <w:r>
                    <w:rPr>
                      <w:rFonts w:hAnsi="宋体"/>
                      <w:szCs w:val="21"/>
                    </w:rPr>
                    <w:t>值</w:t>
                  </w:r>
                </w:p>
              </w:tc>
              <w:tc>
                <w:tcPr>
                  <w:tcW w:w="1149" w:type="dxa"/>
                  <w:vAlign w:val="center"/>
                </w:tcPr>
                <w:p>
                  <w:pPr>
                    <w:spacing w:line="320" w:lineRule="atLeast"/>
                    <w:jc w:val="center"/>
                    <w:rPr>
                      <w:szCs w:val="21"/>
                    </w:rPr>
                  </w:pPr>
                  <w:r>
                    <w:rPr>
                      <w:rFonts w:hint="eastAsia"/>
                      <w:szCs w:val="21"/>
                    </w:rPr>
                    <w:t>7.87</w:t>
                  </w:r>
                </w:p>
              </w:tc>
              <w:tc>
                <w:tcPr>
                  <w:tcW w:w="1147" w:type="dxa"/>
                  <w:vAlign w:val="center"/>
                </w:tcPr>
                <w:p>
                  <w:pPr>
                    <w:spacing w:line="320" w:lineRule="atLeast"/>
                    <w:jc w:val="center"/>
                    <w:rPr>
                      <w:szCs w:val="21"/>
                    </w:rPr>
                  </w:pPr>
                  <w:r>
                    <w:rPr>
                      <w:rFonts w:hint="eastAsia"/>
                      <w:szCs w:val="21"/>
                    </w:rPr>
                    <w:t>7.16</w:t>
                  </w:r>
                </w:p>
              </w:tc>
              <w:tc>
                <w:tcPr>
                  <w:tcW w:w="1149" w:type="dxa"/>
                  <w:vAlign w:val="center"/>
                </w:tcPr>
                <w:p>
                  <w:pPr>
                    <w:spacing w:line="320" w:lineRule="atLeast"/>
                    <w:jc w:val="center"/>
                    <w:rPr>
                      <w:szCs w:val="21"/>
                    </w:rPr>
                  </w:pPr>
                  <w:r>
                    <w:rPr>
                      <w:rFonts w:hint="eastAsia"/>
                      <w:szCs w:val="21"/>
                    </w:rPr>
                    <w:t>7.49</w:t>
                  </w:r>
                </w:p>
              </w:tc>
              <w:tc>
                <w:tcPr>
                  <w:tcW w:w="1095" w:type="dxa"/>
                  <w:vAlign w:val="center"/>
                </w:tcPr>
                <w:p>
                  <w:pPr>
                    <w:widowControl/>
                    <w:spacing w:line="320" w:lineRule="atLeast"/>
                    <w:jc w:val="center"/>
                    <w:rPr>
                      <w:kern w:val="0"/>
                      <w:szCs w:val="21"/>
                    </w:rPr>
                  </w:pPr>
                  <w:r>
                    <w:rPr>
                      <w:kern w:val="0"/>
                      <w:szCs w:val="21"/>
                    </w:rPr>
                    <w:t>0</w:t>
                  </w:r>
                </w:p>
              </w:tc>
              <w:tc>
                <w:tcPr>
                  <w:tcW w:w="1374" w:type="dxa"/>
                  <w:vAlign w:val="center"/>
                </w:tcPr>
                <w:p>
                  <w:pPr>
                    <w:widowControl/>
                    <w:spacing w:line="320" w:lineRule="atLeast"/>
                    <w:jc w:val="center"/>
                    <w:rPr>
                      <w:kern w:val="0"/>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kern w:val="0"/>
                      <w:szCs w:val="21"/>
                    </w:rPr>
                  </w:pPr>
                </w:p>
              </w:tc>
              <w:tc>
                <w:tcPr>
                  <w:tcW w:w="1886" w:type="dxa"/>
                  <w:vAlign w:val="center"/>
                </w:tcPr>
                <w:p>
                  <w:pPr>
                    <w:widowControl/>
                    <w:spacing w:line="320" w:lineRule="atLeast"/>
                    <w:jc w:val="center"/>
                    <w:rPr>
                      <w:kern w:val="0"/>
                      <w:szCs w:val="21"/>
                    </w:rPr>
                  </w:pPr>
                  <w:r>
                    <w:rPr>
                      <w:rFonts w:hAnsi="宋体"/>
                      <w:szCs w:val="21"/>
                    </w:rPr>
                    <w:t>高锰酸盐指数</w:t>
                  </w:r>
                </w:p>
              </w:tc>
              <w:tc>
                <w:tcPr>
                  <w:tcW w:w="1149" w:type="dxa"/>
                  <w:vAlign w:val="center"/>
                </w:tcPr>
                <w:p>
                  <w:pPr>
                    <w:spacing w:line="320" w:lineRule="atLeast"/>
                    <w:jc w:val="center"/>
                    <w:rPr>
                      <w:szCs w:val="21"/>
                    </w:rPr>
                  </w:pPr>
                  <w:r>
                    <w:rPr>
                      <w:rFonts w:hint="eastAsia"/>
                      <w:szCs w:val="21"/>
                    </w:rPr>
                    <w:t>3.5</w:t>
                  </w:r>
                </w:p>
              </w:tc>
              <w:tc>
                <w:tcPr>
                  <w:tcW w:w="1147" w:type="dxa"/>
                  <w:vAlign w:val="center"/>
                </w:tcPr>
                <w:p>
                  <w:pPr>
                    <w:spacing w:line="320" w:lineRule="atLeast"/>
                    <w:jc w:val="center"/>
                    <w:rPr>
                      <w:szCs w:val="21"/>
                    </w:rPr>
                  </w:pPr>
                  <w:r>
                    <w:rPr>
                      <w:rFonts w:hint="eastAsia"/>
                      <w:szCs w:val="21"/>
                    </w:rPr>
                    <w:t>1.4</w:t>
                  </w:r>
                </w:p>
              </w:tc>
              <w:tc>
                <w:tcPr>
                  <w:tcW w:w="1149" w:type="dxa"/>
                  <w:vAlign w:val="center"/>
                </w:tcPr>
                <w:p>
                  <w:pPr>
                    <w:spacing w:line="320" w:lineRule="atLeast"/>
                    <w:jc w:val="center"/>
                    <w:rPr>
                      <w:szCs w:val="21"/>
                    </w:rPr>
                  </w:pPr>
                  <w:r>
                    <w:rPr>
                      <w:rFonts w:hint="eastAsia"/>
                      <w:szCs w:val="21"/>
                    </w:rPr>
                    <w:t>2.5</w:t>
                  </w:r>
                </w:p>
              </w:tc>
              <w:tc>
                <w:tcPr>
                  <w:tcW w:w="1095" w:type="dxa"/>
                  <w:vAlign w:val="center"/>
                </w:tcPr>
                <w:p>
                  <w:pPr>
                    <w:widowControl/>
                    <w:spacing w:line="320" w:lineRule="atLeast"/>
                    <w:jc w:val="center"/>
                    <w:rPr>
                      <w:kern w:val="0"/>
                      <w:szCs w:val="21"/>
                    </w:rPr>
                  </w:pPr>
                  <w:r>
                    <w:rPr>
                      <w:szCs w:val="21"/>
                    </w:rPr>
                    <w:t>0</w:t>
                  </w:r>
                </w:p>
              </w:tc>
              <w:tc>
                <w:tcPr>
                  <w:tcW w:w="1374" w:type="dxa"/>
                  <w:vAlign w:val="center"/>
                </w:tcPr>
                <w:p>
                  <w:pPr>
                    <w:spacing w:line="320" w:lineRule="atLeast"/>
                    <w:jc w:val="center"/>
                    <w:rPr>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kern w:val="0"/>
                      <w:szCs w:val="21"/>
                    </w:rPr>
                  </w:pPr>
                </w:p>
              </w:tc>
              <w:tc>
                <w:tcPr>
                  <w:tcW w:w="1886" w:type="dxa"/>
                  <w:vAlign w:val="center"/>
                </w:tcPr>
                <w:p>
                  <w:pPr>
                    <w:widowControl/>
                    <w:spacing w:line="320" w:lineRule="atLeast"/>
                    <w:jc w:val="center"/>
                    <w:rPr>
                      <w:kern w:val="0"/>
                      <w:szCs w:val="21"/>
                    </w:rPr>
                  </w:pPr>
                  <w:r>
                    <w:rPr>
                      <w:rFonts w:hAnsi="宋体"/>
                      <w:szCs w:val="21"/>
                    </w:rPr>
                    <w:t>化学需氧量</w:t>
                  </w:r>
                </w:p>
              </w:tc>
              <w:tc>
                <w:tcPr>
                  <w:tcW w:w="1149" w:type="dxa"/>
                  <w:vAlign w:val="center"/>
                </w:tcPr>
                <w:p>
                  <w:pPr>
                    <w:spacing w:line="320" w:lineRule="atLeast"/>
                    <w:jc w:val="center"/>
                    <w:rPr>
                      <w:szCs w:val="21"/>
                    </w:rPr>
                  </w:pPr>
                  <w:r>
                    <w:rPr>
                      <w:rFonts w:hint="eastAsia"/>
                      <w:szCs w:val="21"/>
                    </w:rPr>
                    <w:t>12</w:t>
                  </w:r>
                </w:p>
              </w:tc>
              <w:tc>
                <w:tcPr>
                  <w:tcW w:w="1147" w:type="dxa"/>
                  <w:vAlign w:val="center"/>
                </w:tcPr>
                <w:p>
                  <w:pPr>
                    <w:spacing w:line="320" w:lineRule="atLeast"/>
                    <w:jc w:val="center"/>
                    <w:rPr>
                      <w:szCs w:val="21"/>
                    </w:rPr>
                  </w:pPr>
                  <w:r>
                    <w:rPr>
                      <w:rFonts w:hint="eastAsia"/>
                      <w:szCs w:val="21"/>
                    </w:rPr>
                    <w:t>3</w:t>
                  </w:r>
                </w:p>
              </w:tc>
              <w:tc>
                <w:tcPr>
                  <w:tcW w:w="1149" w:type="dxa"/>
                  <w:vAlign w:val="center"/>
                </w:tcPr>
                <w:p>
                  <w:pPr>
                    <w:spacing w:line="320" w:lineRule="atLeast"/>
                    <w:jc w:val="center"/>
                    <w:rPr>
                      <w:szCs w:val="21"/>
                    </w:rPr>
                  </w:pPr>
                  <w:r>
                    <w:rPr>
                      <w:rFonts w:hint="eastAsia"/>
                      <w:szCs w:val="21"/>
                    </w:rPr>
                    <w:t>8</w:t>
                  </w:r>
                </w:p>
              </w:tc>
              <w:tc>
                <w:tcPr>
                  <w:tcW w:w="1095" w:type="dxa"/>
                  <w:vAlign w:val="center"/>
                </w:tcPr>
                <w:p>
                  <w:pPr>
                    <w:widowControl/>
                    <w:spacing w:line="320" w:lineRule="atLeast"/>
                    <w:jc w:val="center"/>
                    <w:rPr>
                      <w:kern w:val="0"/>
                      <w:szCs w:val="21"/>
                    </w:rPr>
                  </w:pPr>
                  <w:r>
                    <w:rPr>
                      <w:szCs w:val="21"/>
                    </w:rPr>
                    <w:t>0</w:t>
                  </w:r>
                </w:p>
              </w:tc>
              <w:tc>
                <w:tcPr>
                  <w:tcW w:w="1374" w:type="dxa"/>
                  <w:vAlign w:val="center"/>
                </w:tcPr>
                <w:p>
                  <w:pPr>
                    <w:spacing w:line="320" w:lineRule="atLeast"/>
                    <w:jc w:val="center"/>
                    <w:rPr>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cr/>
                  </w:r>
                  <w:r>
                    <w:rPr>
                      <w:rFonts w:hint="eastAsia"/>
                      <w:kern w:val="0"/>
                      <w:szCs w:val="21"/>
                    </w:rPr>
                    <w:t>2</w:t>
                  </w:r>
                  <w:r>
                    <w:rPr>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kern w:val="0"/>
                      <w:szCs w:val="21"/>
                    </w:rPr>
                  </w:pPr>
                </w:p>
              </w:tc>
              <w:tc>
                <w:tcPr>
                  <w:tcW w:w="1886" w:type="dxa"/>
                  <w:vAlign w:val="center"/>
                </w:tcPr>
                <w:p>
                  <w:pPr>
                    <w:widowControl/>
                    <w:spacing w:line="320" w:lineRule="atLeast"/>
                    <w:jc w:val="center"/>
                    <w:rPr>
                      <w:kern w:val="0"/>
                      <w:szCs w:val="21"/>
                    </w:rPr>
                  </w:pPr>
                  <w:r>
                    <w:rPr>
                      <w:rFonts w:hAnsi="宋体"/>
                      <w:szCs w:val="21"/>
                    </w:rPr>
                    <w:t>五日生化需氧量</w:t>
                  </w:r>
                </w:p>
              </w:tc>
              <w:tc>
                <w:tcPr>
                  <w:tcW w:w="1149" w:type="dxa"/>
                  <w:vAlign w:val="center"/>
                </w:tcPr>
                <w:p>
                  <w:pPr>
                    <w:spacing w:line="320" w:lineRule="atLeast"/>
                    <w:jc w:val="center"/>
                    <w:rPr>
                      <w:szCs w:val="21"/>
                    </w:rPr>
                  </w:pPr>
                  <w:r>
                    <w:rPr>
                      <w:rFonts w:hint="eastAsia"/>
                      <w:szCs w:val="21"/>
                    </w:rPr>
                    <w:t>3</w:t>
                  </w:r>
                </w:p>
              </w:tc>
              <w:tc>
                <w:tcPr>
                  <w:tcW w:w="1147" w:type="dxa"/>
                  <w:vAlign w:val="center"/>
                </w:tcPr>
                <w:p>
                  <w:pPr>
                    <w:spacing w:line="320" w:lineRule="atLeast"/>
                    <w:jc w:val="center"/>
                    <w:rPr>
                      <w:szCs w:val="21"/>
                    </w:rPr>
                  </w:pPr>
                  <w:r>
                    <w:rPr>
                      <w:rFonts w:hint="eastAsia"/>
                      <w:szCs w:val="21"/>
                    </w:rPr>
                    <w:t>1</w:t>
                  </w:r>
                </w:p>
              </w:tc>
              <w:tc>
                <w:tcPr>
                  <w:tcW w:w="1149" w:type="dxa"/>
                  <w:vAlign w:val="center"/>
                </w:tcPr>
                <w:p>
                  <w:pPr>
                    <w:spacing w:line="320" w:lineRule="atLeast"/>
                    <w:jc w:val="center"/>
                    <w:rPr>
                      <w:szCs w:val="21"/>
                    </w:rPr>
                  </w:pPr>
                  <w:r>
                    <w:rPr>
                      <w:rFonts w:hint="eastAsia"/>
                      <w:szCs w:val="21"/>
                    </w:rPr>
                    <w:t>2</w:t>
                  </w:r>
                </w:p>
              </w:tc>
              <w:tc>
                <w:tcPr>
                  <w:tcW w:w="1095" w:type="dxa"/>
                  <w:vAlign w:val="center"/>
                </w:tcPr>
                <w:p>
                  <w:pPr>
                    <w:widowControl/>
                    <w:spacing w:line="320" w:lineRule="atLeast"/>
                    <w:jc w:val="center"/>
                    <w:rPr>
                      <w:kern w:val="0"/>
                      <w:szCs w:val="21"/>
                    </w:rPr>
                  </w:pPr>
                  <w:r>
                    <w:rPr>
                      <w:szCs w:val="21"/>
                    </w:rPr>
                    <w:t>0</w:t>
                  </w:r>
                </w:p>
              </w:tc>
              <w:tc>
                <w:tcPr>
                  <w:tcW w:w="1374" w:type="dxa"/>
                  <w:vAlign w:val="center"/>
                </w:tcPr>
                <w:p>
                  <w:pPr>
                    <w:spacing w:line="320" w:lineRule="atLeast"/>
                    <w:jc w:val="center"/>
                    <w:rPr>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cr/>
                  </w:r>
                  <w:r>
                    <w:rPr>
                      <w:rFonts w:hint="eastAsia"/>
                      <w:kern w:val="0"/>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kern w:val="0"/>
                      <w:szCs w:val="21"/>
                    </w:rPr>
                  </w:pPr>
                </w:p>
              </w:tc>
              <w:tc>
                <w:tcPr>
                  <w:tcW w:w="1886" w:type="dxa"/>
                  <w:vAlign w:val="center"/>
                </w:tcPr>
                <w:p>
                  <w:pPr>
                    <w:widowControl/>
                    <w:spacing w:line="320" w:lineRule="atLeast"/>
                    <w:jc w:val="center"/>
                    <w:rPr>
                      <w:kern w:val="0"/>
                      <w:szCs w:val="21"/>
                    </w:rPr>
                  </w:pPr>
                  <w:r>
                    <w:rPr>
                      <w:rFonts w:hAnsi="宋体"/>
                      <w:szCs w:val="21"/>
                    </w:rPr>
                    <w:t>氨氮</w:t>
                  </w:r>
                </w:p>
              </w:tc>
              <w:tc>
                <w:tcPr>
                  <w:tcW w:w="1149" w:type="dxa"/>
                  <w:vAlign w:val="center"/>
                </w:tcPr>
                <w:p>
                  <w:pPr>
                    <w:spacing w:line="320" w:lineRule="atLeast"/>
                    <w:jc w:val="center"/>
                    <w:rPr>
                      <w:szCs w:val="21"/>
                    </w:rPr>
                  </w:pPr>
                  <w:r>
                    <w:rPr>
                      <w:rFonts w:hint="eastAsia"/>
                      <w:szCs w:val="21"/>
                    </w:rPr>
                    <w:t>0.485</w:t>
                  </w:r>
                </w:p>
              </w:tc>
              <w:tc>
                <w:tcPr>
                  <w:tcW w:w="1147" w:type="dxa"/>
                  <w:vAlign w:val="center"/>
                </w:tcPr>
                <w:p>
                  <w:pPr>
                    <w:spacing w:line="320" w:lineRule="atLeast"/>
                    <w:jc w:val="center"/>
                    <w:rPr>
                      <w:szCs w:val="21"/>
                    </w:rPr>
                  </w:pPr>
                  <w:r>
                    <w:rPr>
                      <w:rFonts w:hint="eastAsia"/>
                      <w:szCs w:val="21"/>
                    </w:rPr>
                    <w:t>0.065</w:t>
                  </w:r>
                </w:p>
              </w:tc>
              <w:tc>
                <w:tcPr>
                  <w:tcW w:w="1149" w:type="dxa"/>
                  <w:vAlign w:val="center"/>
                </w:tcPr>
                <w:p>
                  <w:pPr>
                    <w:spacing w:line="320" w:lineRule="atLeast"/>
                    <w:jc w:val="center"/>
                    <w:rPr>
                      <w:szCs w:val="21"/>
                    </w:rPr>
                  </w:pPr>
                  <w:r>
                    <w:rPr>
                      <w:rFonts w:hint="eastAsia"/>
                      <w:szCs w:val="21"/>
                    </w:rPr>
                    <w:t>0.197</w:t>
                  </w:r>
                </w:p>
              </w:tc>
              <w:tc>
                <w:tcPr>
                  <w:tcW w:w="1095" w:type="dxa"/>
                  <w:vAlign w:val="center"/>
                </w:tcPr>
                <w:p>
                  <w:pPr>
                    <w:widowControl/>
                    <w:spacing w:line="320" w:lineRule="atLeast"/>
                    <w:jc w:val="center"/>
                    <w:rPr>
                      <w:kern w:val="0"/>
                      <w:szCs w:val="21"/>
                    </w:rPr>
                  </w:pPr>
                  <w:r>
                    <w:rPr>
                      <w:kern w:val="0"/>
                      <w:szCs w:val="21"/>
                    </w:rPr>
                    <w:t>0</w:t>
                  </w:r>
                </w:p>
              </w:tc>
              <w:tc>
                <w:tcPr>
                  <w:tcW w:w="1374" w:type="dxa"/>
                  <w:vAlign w:val="center"/>
                </w:tcPr>
                <w:p>
                  <w:pPr>
                    <w:spacing w:line="320" w:lineRule="atLeast"/>
                    <w:jc w:val="center"/>
                    <w:rPr>
                      <w:szCs w:val="21"/>
                    </w:rPr>
                  </w:pPr>
                  <w:r>
                    <w:rPr>
                      <w:szCs w:val="21"/>
                    </w:rPr>
                    <w:t>/</w:t>
                  </w:r>
                </w:p>
              </w:tc>
              <w:tc>
                <w:tcPr>
                  <w:tcW w:w="947" w:type="dxa"/>
                  <w:vAlign w:val="center"/>
                </w:tcPr>
                <w:p>
                  <w:pPr>
                    <w:widowControl/>
                    <w:spacing w:line="320" w:lineRule="atLeast"/>
                    <w:jc w:val="center"/>
                    <w:rPr>
                      <w:kern w:val="0"/>
                      <w:szCs w:val="21"/>
                    </w:rPr>
                  </w:pPr>
                  <w:r>
                    <w:rPr>
                      <w:kern w:val="0"/>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kern w:val="0"/>
                      <w:szCs w:val="21"/>
                    </w:rPr>
                  </w:pPr>
                </w:p>
              </w:tc>
              <w:tc>
                <w:tcPr>
                  <w:tcW w:w="1886" w:type="dxa"/>
                  <w:vAlign w:val="center"/>
                </w:tcPr>
                <w:p>
                  <w:pPr>
                    <w:widowControl/>
                    <w:spacing w:line="320" w:lineRule="atLeast"/>
                    <w:jc w:val="center"/>
                    <w:rPr>
                      <w:kern w:val="0"/>
                      <w:szCs w:val="21"/>
                    </w:rPr>
                  </w:pPr>
                  <w:r>
                    <w:rPr>
                      <w:rFonts w:hAnsi="宋体"/>
                      <w:szCs w:val="21"/>
                    </w:rPr>
                    <w:t>总磷</w:t>
                  </w:r>
                </w:p>
              </w:tc>
              <w:tc>
                <w:tcPr>
                  <w:tcW w:w="1149" w:type="dxa"/>
                  <w:vAlign w:val="center"/>
                </w:tcPr>
                <w:p>
                  <w:pPr>
                    <w:spacing w:line="320" w:lineRule="atLeast"/>
                    <w:jc w:val="center"/>
                    <w:rPr>
                      <w:szCs w:val="21"/>
                    </w:rPr>
                  </w:pPr>
                  <w:r>
                    <w:rPr>
                      <w:rFonts w:hint="eastAsia"/>
                      <w:szCs w:val="21"/>
                    </w:rPr>
                    <w:t>0.16</w:t>
                  </w:r>
                </w:p>
              </w:tc>
              <w:tc>
                <w:tcPr>
                  <w:tcW w:w="1147" w:type="dxa"/>
                  <w:vAlign w:val="center"/>
                </w:tcPr>
                <w:p>
                  <w:pPr>
                    <w:spacing w:line="320" w:lineRule="atLeast"/>
                    <w:jc w:val="center"/>
                    <w:rPr>
                      <w:szCs w:val="21"/>
                    </w:rPr>
                  </w:pPr>
                  <w:r>
                    <w:rPr>
                      <w:rFonts w:hint="eastAsia"/>
                      <w:szCs w:val="21"/>
                    </w:rPr>
                    <w:t>0.05</w:t>
                  </w:r>
                </w:p>
              </w:tc>
              <w:tc>
                <w:tcPr>
                  <w:tcW w:w="1149" w:type="dxa"/>
                  <w:vAlign w:val="center"/>
                </w:tcPr>
                <w:p>
                  <w:pPr>
                    <w:spacing w:line="320" w:lineRule="atLeast"/>
                    <w:jc w:val="center"/>
                    <w:rPr>
                      <w:szCs w:val="21"/>
                    </w:rPr>
                  </w:pPr>
                  <w:r>
                    <w:rPr>
                      <w:rFonts w:hint="eastAsia"/>
                      <w:szCs w:val="21"/>
                    </w:rPr>
                    <w:t>0.071</w:t>
                  </w:r>
                </w:p>
              </w:tc>
              <w:tc>
                <w:tcPr>
                  <w:tcW w:w="1095" w:type="dxa"/>
                  <w:vAlign w:val="center"/>
                </w:tcPr>
                <w:p>
                  <w:pPr>
                    <w:widowControl/>
                    <w:spacing w:line="320" w:lineRule="atLeast"/>
                    <w:jc w:val="center"/>
                    <w:rPr>
                      <w:kern w:val="0"/>
                      <w:szCs w:val="21"/>
                    </w:rPr>
                  </w:pPr>
                  <w:r>
                    <w:rPr>
                      <w:szCs w:val="21"/>
                    </w:rPr>
                    <w:t>0</w:t>
                  </w:r>
                </w:p>
              </w:tc>
              <w:tc>
                <w:tcPr>
                  <w:tcW w:w="1374" w:type="dxa"/>
                  <w:vAlign w:val="center"/>
                </w:tcPr>
                <w:p>
                  <w:pPr>
                    <w:spacing w:line="320" w:lineRule="atLeast"/>
                    <w:jc w:val="center"/>
                    <w:rPr>
                      <w:szCs w:val="21"/>
                    </w:rPr>
                  </w:pPr>
                  <w:r>
                    <w:rPr>
                      <w:kern w:val="0"/>
                      <w:szCs w:val="21"/>
                    </w:rPr>
                    <w:t>/</w:t>
                  </w:r>
                </w:p>
              </w:tc>
              <w:tc>
                <w:tcPr>
                  <w:tcW w:w="947" w:type="dxa"/>
                  <w:vAlign w:val="center"/>
                </w:tcPr>
                <w:p>
                  <w:pPr>
                    <w:widowControl/>
                    <w:spacing w:line="320" w:lineRule="atLeast"/>
                    <w:jc w:val="center"/>
                    <w:rPr>
                      <w:kern w:val="0"/>
                      <w:szCs w:val="21"/>
                    </w:rPr>
                  </w:pPr>
                  <w:r>
                    <w:rPr>
                      <w:kern w:val="0"/>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kern w:val="0"/>
                      <w:szCs w:val="21"/>
                    </w:rPr>
                  </w:pPr>
                </w:p>
              </w:tc>
              <w:tc>
                <w:tcPr>
                  <w:tcW w:w="1886" w:type="dxa"/>
                  <w:vAlign w:val="center"/>
                </w:tcPr>
                <w:p>
                  <w:pPr>
                    <w:widowControl/>
                    <w:spacing w:line="320" w:lineRule="atLeast"/>
                    <w:jc w:val="center"/>
                    <w:rPr>
                      <w:szCs w:val="21"/>
                    </w:rPr>
                  </w:pPr>
                  <w:r>
                    <w:rPr>
                      <w:rFonts w:hAnsi="宋体"/>
                      <w:szCs w:val="21"/>
                    </w:rPr>
                    <w:t>石油类</w:t>
                  </w:r>
                </w:p>
              </w:tc>
              <w:tc>
                <w:tcPr>
                  <w:tcW w:w="1149" w:type="dxa"/>
                  <w:vAlign w:val="center"/>
                </w:tcPr>
                <w:p>
                  <w:pPr>
                    <w:spacing w:line="320" w:lineRule="atLeast"/>
                    <w:jc w:val="center"/>
                    <w:rPr>
                      <w:szCs w:val="21"/>
                    </w:rPr>
                  </w:pPr>
                  <w:r>
                    <w:rPr>
                      <w:rFonts w:hint="eastAsia"/>
                      <w:szCs w:val="21"/>
                    </w:rPr>
                    <w:t>0.005</w:t>
                  </w:r>
                </w:p>
              </w:tc>
              <w:tc>
                <w:tcPr>
                  <w:tcW w:w="1147" w:type="dxa"/>
                  <w:vAlign w:val="center"/>
                </w:tcPr>
                <w:p>
                  <w:pPr>
                    <w:spacing w:line="320" w:lineRule="atLeast"/>
                    <w:jc w:val="center"/>
                    <w:rPr>
                      <w:szCs w:val="21"/>
                    </w:rPr>
                  </w:pPr>
                  <w:r>
                    <w:rPr>
                      <w:rFonts w:hint="eastAsia"/>
                      <w:szCs w:val="21"/>
                    </w:rPr>
                    <w:t>0.005</w:t>
                  </w:r>
                </w:p>
              </w:tc>
              <w:tc>
                <w:tcPr>
                  <w:tcW w:w="1149" w:type="dxa"/>
                  <w:vAlign w:val="center"/>
                </w:tcPr>
                <w:p>
                  <w:pPr>
                    <w:spacing w:line="320" w:lineRule="atLeast"/>
                    <w:jc w:val="center"/>
                    <w:rPr>
                      <w:szCs w:val="21"/>
                    </w:rPr>
                  </w:pPr>
                  <w:r>
                    <w:rPr>
                      <w:rFonts w:hint="eastAsia"/>
                      <w:szCs w:val="21"/>
                    </w:rPr>
                    <w:t>0.005</w:t>
                  </w:r>
                </w:p>
              </w:tc>
              <w:tc>
                <w:tcPr>
                  <w:tcW w:w="1095" w:type="dxa"/>
                  <w:vAlign w:val="center"/>
                </w:tcPr>
                <w:p>
                  <w:pPr>
                    <w:widowControl/>
                    <w:spacing w:line="320" w:lineRule="atLeast"/>
                    <w:jc w:val="center"/>
                    <w:rPr>
                      <w:szCs w:val="21"/>
                    </w:rPr>
                  </w:pPr>
                  <w:r>
                    <w:rPr>
                      <w:szCs w:val="21"/>
                    </w:rPr>
                    <w:t>0</w:t>
                  </w:r>
                </w:p>
              </w:tc>
              <w:tc>
                <w:tcPr>
                  <w:tcW w:w="1374" w:type="dxa"/>
                  <w:vAlign w:val="center"/>
                </w:tcPr>
                <w:p>
                  <w:pPr>
                    <w:widowControl/>
                    <w:spacing w:line="320" w:lineRule="atLeast"/>
                    <w:jc w:val="center"/>
                    <w:rPr>
                      <w:szCs w:val="21"/>
                    </w:rPr>
                  </w:pPr>
                  <w:r>
                    <w:rPr>
                      <w:kern w:val="0"/>
                      <w:szCs w:val="21"/>
                    </w:rPr>
                    <w:t>/</w:t>
                  </w:r>
                </w:p>
              </w:tc>
              <w:tc>
                <w:tcPr>
                  <w:tcW w:w="947" w:type="dxa"/>
                  <w:vAlign w:val="center"/>
                </w:tcPr>
                <w:p>
                  <w:pPr>
                    <w:widowControl/>
                    <w:spacing w:line="320" w:lineRule="atLeast"/>
                    <w:jc w:val="center"/>
                    <w:rPr>
                      <w:szCs w:val="21"/>
                    </w:rPr>
                  </w:pPr>
                  <w:r>
                    <w:rPr>
                      <w:szCs w:val="21"/>
                    </w:rPr>
                    <w:cr/>
                  </w:r>
                  <w:r>
                    <w:rPr>
                      <w:rFonts w:hint="eastAsia"/>
                      <w:szCs w:val="21"/>
                    </w:rPr>
                    <w:t>0</w:t>
                  </w:r>
                  <w:r>
                    <w:rPr>
                      <w:szCs w:val="21"/>
                    </w:rPr>
                    <w:t>.05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kern w:val="0"/>
                      <w:szCs w:val="21"/>
                    </w:rPr>
                  </w:pPr>
                </w:p>
              </w:tc>
              <w:tc>
                <w:tcPr>
                  <w:tcW w:w="1886" w:type="dxa"/>
                  <w:vAlign w:val="center"/>
                </w:tcPr>
                <w:p>
                  <w:pPr>
                    <w:widowControl/>
                    <w:spacing w:line="320" w:lineRule="atLeast"/>
                    <w:jc w:val="center"/>
                    <w:rPr>
                      <w:szCs w:val="21"/>
                    </w:rPr>
                  </w:pPr>
                  <w:r>
                    <w:rPr>
                      <w:rFonts w:hAnsi="宋体"/>
                      <w:szCs w:val="21"/>
                    </w:rPr>
                    <w:t>阴离子洗涤剂</w:t>
                  </w:r>
                </w:p>
              </w:tc>
              <w:tc>
                <w:tcPr>
                  <w:tcW w:w="1149" w:type="dxa"/>
                  <w:vAlign w:val="center"/>
                </w:tcPr>
                <w:p>
                  <w:pPr>
                    <w:spacing w:line="320" w:lineRule="atLeast"/>
                    <w:jc w:val="center"/>
                    <w:rPr>
                      <w:szCs w:val="21"/>
                    </w:rPr>
                  </w:pPr>
                  <w:r>
                    <w:rPr>
                      <w:rFonts w:hint="eastAsia"/>
                      <w:szCs w:val="21"/>
                    </w:rPr>
                    <w:t>0.04</w:t>
                  </w:r>
                </w:p>
              </w:tc>
              <w:tc>
                <w:tcPr>
                  <w:tcW w:w="1147" w:type="dxa"/>
                  <w:vAlign w:val="center"/>
                </w:tcPr>
                <w:p>
                  <w:pPr>
                    <w:spacing w:line="320" w:lineRule="atLeast"/>
                    <w:jc w:val="center"/>
                    <w:rPr>
                      <w:szCs w:val="21"/>
                    </w:rPr>
                  </w:pPr>
                  <w:r>
                    <w:rPr>
                      <w:rFonts w:hint="eastAsia"/>
                      <w:szCs w:val="21"/>
                    </w:rPr>
                    <w:t>0.01</w:t>
                  </w:r>
                </w:p>
              </w:tc>
              <w:tc>
                <w:tcPr>
                  <w:tcW w:w="1149" w:type="dxa"/>
                  <w:vAlign w:val="center"/>
                </w:tcPr>
                <w:p>
                  <w:pPr>
                    <w:spacing w:line="320" w:lineRule="atLeast"/>
                    <w:jc w:val="center"/>
                    <w:rPr>
                      <w:szCs w:val="21"/>
                    </w:rPr>
                  </w:pPr>
                  <w:r>
                    <w:rPr>
                      <w:rFonts w:hint="eastAsia"/>
                      <w:szCs w:val="21"/>
                    </w:rPr>
                    <w:t>0.02</w:t>
                  </w:r>
                </w:p>
              </w:tc>
              <w:tc>
                <w:tcPr>
                  <w:tcW w:w="1095" w:type="dxa"/>
                  <w:vAlign w:val="center"/>
                </w:tcPr>
                <w:p>
                  <w:pPr>
                    <w:widowControl/>
                    <w:spacing w:line="320" w:lineRule="atLeast"/>
                    <w:jc w:val="center"/>
                    <w:rPr>
                      <w:szCs w:val="21"/>
                    </w:rPr>
                  </w:pPr>
                  <w:r>
                    <w:rPr>
                      <w:szCs w:val="21"/>
                    </w:rPr>
                    <w:t>0</w:t>
                  </w:r>
                </w:p>
              </w:tc>
              <w:tc>
                <w:tcPr>
                  <w:tcW w:w="1374" w:type="dxa"/>
                  <w:vAlign w:val="center"/>
                </w:tcPr>
                <w:p>
                  <w:pPr>
                    <w:widowControl/>
                    <w:spacing w:line="320" w:lineRule="atLeast"/>
                    <w:jc w:val="center"/>
                    <w:rPr>
                      <w:kern w:val="0"/>
                      <w:szCs w:val="21"/>
                    </w:rPr>
                  </w:pPr>
                </w:p>
              </w:tc>
              <w:tc>
                <w:tcPr>
                  <w:tcW w:w="947" w:type="dxa"/>
                  <w:vAlign w:val="center"/>
                </w:tcPr>
                <w:p>
                  <w:pPr>
                    <w:widowControl/>
                    <w:spacing w:line="320" w:lineRule="atLeast"/>
                    <w:jc w:val="center"/>
                    <w:rPr>
                      <w:szCs w:val="21"/>
                    </w:rPr>
                  </w:pPr>
                  <w:r>
                    <w:rPr>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kern w:val="0"/>
                      <w:szCs w:val="21"/>
                    </w:rPr>
                  </w:pPr>
                </w:p>
              </w:tc>
              <w:tc>
                <w:tcPr>
                  <w:tcW w:w="1886" w:type="dxa"/>
                  <w:vAlign w:val="center"/>
                </w:tcPr>
                <w:p>
                  <w:pPr>
                    <w:widowControl/>
                    <w:spacing w:line="320" w:lineRule="atLeast"/>
                    <w:jc w:val="center"/>
                    <w:rPr>
                      <w:szCs w:val="21"/>
                    </w:rPr>
                  </w:pPr>
                  <w:r>
                    <w:rPr>
                      <w:rFonts w:hAnsi="宋体"/>
                      <w:szCs w:val="21"/>
                    </w:rPr>
                    <w:t>硫化物</w:t>
                  </w:r>
                </w:p>
              </w:tc>
              <w:tc>
                <w:tcPr>
                  <w:tcW w:w="1149" w:type="dxa"/>
                  <w:vAlign w:val="center"/>
                </w:tcPr>
                <w:p>
                  <w:pPr>
                    <w:spacing w:line="320" w:lineRule="atLeast"/>
                    <w:jc w:val="center"/>
                    <w:rPr>
                      <w:szCs w:val="21"/>
                    </w:rPr>
                  </w:pPr>
                  <w:r>
                    <w:rPr>
                      <w:rFonts w:hint="eastAsia"/>
                      <w:szCs w:val="21"/>
                    </w:rPr>
                    <w:t>0.01</w:t>
                  </w:r>
                </w:p>
              </w:tc>
              <w:tc>
                <w:tcPr>
                  <w:tcW w:w="1147" w:type="dxa"/>
                  <w:vAlign w:val="center"/>
                </w:tcPr>
                <w:p>
                  <w:pPr>
                    <w:spacing w:line="320" w:lineRule="atLeast"/>
                    <w:jc w:val="center"/>
                    <w:rPr>
                      <w:szCs w:val="21"/>
                    </w:rPr>
                  </w:pPr>
                  <w:r>
                    <w:rPr>
                      <w:rFonts w:hint="eastAsia"/>
                      <w:szCs w:val="21"/>
                    </w:rPr>
                    <w:t>0.01</w:t>
                  </w:r>
                </w:p>
              </w:tc>
              <w:tc>
                <w:tcPr>
                  <w:tcW w:w="1149" w:type="dxa"/>
                  <w:vAlign w:val="center"/>
                </w:tcPr>
                <w:p>
                  <w:pPr>
                    <w:spacing w:line="320" w:lineRule="atLeast"/>
                    <w:jc w:val="center"/>
                    <w:rPr>
                      <w:szCs w:val="21"/>
                    </w:rPr>
                  </w:pPr>
                  <w:r>
                    <w:rPr>
                      <w:rFonts w:hint="eastAsia"/>
                      <w:szCs w:val="21"/>
                    </w:rPr>
                    <w:t>0.01</w:t>
                  </w:r>
                </w:p>
              </w:tc>
              <w:tc>
                <w:tcPr>
                  <w:tcW w:w="1095" w:type="dxa"/>
                  <w:vAlign w:val="center"/>
                </w:tcPr>
                <w:p>
                  <w:pPr>
                    <w:widowControl/>
                    <w:spacing w:line="320" w:lineRule="atLeast"/>
                    <w:jc w:val="center"/>
                    <w:rPr>
                      <w:szCs w:val="21"/>
                    </w:rPr>
                  </w:pPr>
                  <w:r>
                    <w:rPr>
                      <w:szCs w:val="21"/>
                    </w:rPr>
                    <w:t>0</w:t>
                  </w:r>
                </w:p>
              </w:tc>
              <w:tc>
                <w:tcPr>
                  <w:tcW w:w="1374" w:type="dxa"/>
                  <w:vAlign w:val="center"/>
                </w:tcPr>
                <w:p>
                  <w:pPr>
                    <w:widowControl/>
                    <w:spacing w:line="320" w:lineRule="atLeast"/>
                    <w:jc w:val="center"/>
                    <w:rPr>
                      <w:szCs w:val="21"/>
                    </w:rPr>
                  </w:pPr>
                  <w:r>
                    <w:rPr>
                      <w:kern w:val="0"/>
                      <w:szCs w:val="21"/>
                    </w:rPr>
                    <w:t>/</w:t>
                  </w:r>
                </w:p>
              </w:tc>
              <w:tc>
                <w:tcPr>
                  <w:tcW w:w="947" w:type="dxa"/>
                  <w:vAlign w:val="center"/>
                </w:tcPr>
                <w:p>
                  <w:pPr>
                    <w:widowControl/>
                    <w:spacing w:line="320" w:lineRule="atLeast"/>
                    <w:jc w:val="center"/>
                    <w:rPr>
                      <w:szCs w:val="21"/>
                    </w:rPr>
                  </w:pPr>
                  <w:r>
                    <w:rPr>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526" w:type="dxa"/>
                  <w:vMerge w:val="continue"/>
                  <w:vAlign w:val="center"/>
                </w:tcPr>
                <w:p>
                  <w:pPr>
                    <w:widowControl/>
                    <w:spacing w:line="320" w:lineRule="atLeast"/>
                    <w:jc w:val="center"/>
                    <w:rPr>
                      <w:kern w:val="0"/>
                      <w:szCs w:val="21"/>
                    </w:rPr>
                  </w:pPr>
                </w:p>
              </w:tc>
              <w:tc>
                <w:tcPr>
                  <w:tcW w:w="1886" w:type="dxa"/>
                  <w:vAlign w:val="center"/>
                </w:tcPr>
                <w:p>
                  <w:pPr>
                    <w:widowControl/>
                    <w:spacing w:line="320" w:lineRule="atLeast"/>
                    <w:jc w:val="center"/>
                    <w:rPr>
                      <w:szCs w:val="21"/>
                    </w:rPr>
                  </w:pPr>
                  <w:r>
                    <w:rPr>
                      <w:rFonts w:hAnsi="宋体"/>
                      <w:szCs w:val="21"/>
                    </w:rPr>
                    <w:t>粪大肠菌群</w:t>
                  </w:r>
                </w:p>
              </w:tc>
              <w:tc>
                <w:tcPr>
                  <w:tcW w:w="1149" w:type="dxa"/>
                  <w:vAlign w:val="center"/>
                </w:tcPr>
                <w:p>
                  <w:pPr>
                    <w:spacing w:line="320" w:lineRule="atLeast"/>
                    <w:jc w:val="center"/>
                    <w:rPr>
                      <w:szCs w:val="21"/>
                    </w:rPr>
                  </w:pPr>
                  <w:r>
                    <w:rPr>
                      <w:rFonts w:hint="eastAsia"/>
                      <w:szCs w:val="21"/>
                    </w:rPr>
                    <w:t>92000</w:t>
                  </w:r>
                </w:p>
              </w:tc>
              <w:tc>
                <w:tcPr>
                  <w:tcW w:w="1147" w:type="dxa"/>
                  <w:vAlign w:val="center"/>
                </w:tcPr>
                <w:p>
                  <w:pPr>
                    <w:spacing w:line="320" w:lineRule="atLeast"/>
                    <w:jc w:val="center"/>
                    <w:rPr>
                      <w:szCs w:val="21"/>
                    </w:rPr>
                  </w:pPr>
                  <w:r>
                    <w:rPr>
                      <w:rFonts w:hint="eastAsia"/>
                      <w:szCs w:val="21"/>
                    </w:rPr>
                    <w:t>2300</w:t>
                  </w:r>
                </w:p>
              </w:tc>
              <w:tc>
                <w:tcPr>
                  <w:tcW w:w="1149" w:type="dxa"/>
                  <w:vAlign w:val="center"/>
                </w:tcPr>
                <w:p>
                  <w:pPr>
                    <w:spacing w:line="320" w:lineRule="atLeast"/>
                    <w:jc w:val="center"/>
                    <w:rPr>
                      <w:szCs w:val="21"/>
                    </w:rPr>
                  </w:pPr>
                  <w:r>
                    <w:rPr>
                      <w:rFonts w:hint="eastAsia"/>
                      <w:szCs w:val="21"/>
                    </w:rPr>
                    <w:t>12868</w:t>
                  </w:r>
                </w:p>
              </w:tc>
              <w:tc>
                <w:tcPr>
                  <w:tcW w:w="1095" w:type="dxa"/>
                  <w:vAlign w:val="center"/>
                </w:tcPr>
                <w:p>
                  <w:pPr>
                    <w:widowControl/>
                    <w:spacing w:line="320" w:lineRule="atLeast"/>
                    <w:jc w:val="center"/>
                    <w:rPr>
                      <w:szCs w:val="21"/>
                    </w:rPr>
                  </w:pPr>
                  <w:r>
                    <w:rPr>
                      <w:rFonts w:hint="eastAsia"/>
                      <w:szCs w:val="21"/>
                    </w:rPr>
                    <w:t>52.8</w:t>
                  </w:r>
                </w:p>
              </w:tc>
              <w:tc>
                <w:tcPr>
                  <w:tcW w:w="1374" w:type="dxa"/>
                  <w:vAlign w:val="center"/>
                </w:tcPr>
                <w:p>
                  <w:pPr>
                    <w:widowControl/>
                    <w:spacing w:line="320" w:lineRule="atLeast"/>
                    <w:jc w:val="center"/>
                    <w:rPr>
                      <w:kern w:val="0"/>
                      <w:szCs w:val="21"/>
                    </w:rPr>
                  </w:pPr>
                  <w:r>
                    <w:rPr>
                      <w:rFonts w:hint="eastAsia"/>
                      <w:kern w:val="0"/>
                      <w:szCs w:val="21"/>
                    </w:rPr>
                    <w:t>8.2</w:t>
                  </w:r>
                </w:p>
              </w:tc>
              <w:tc>
                <w:tcPr>
                  <w:tcW w:w="947" w:type="dxa"/>
                  <w:vAlign w:val="center"/>
                </w:tcPr>
                <w:p>
                  <w:pPr>
                    <w:widowControl/>
                    <w:spacing w:line="320" w:lineRule="atLeast"/>
                    <w:jc w:val="center"/>
                    <w:rPr>
                      <w:szCs w:val="21"/>
                    </w:rPr>
                  </w:pPr>
                  <w:r>
                    <w:rPr>
                      <w:szCs w:val="21"/>
                    </w:rPr>
                    <w:t>10000</w:t>
                  </w:r>
                </w:p>
              </w:tc>
            </w:tr>
          </w:tbl>
          <w:p>
            <w:pPr>
              <w:spacing w:line="360" w:lineRule="auto"/>
              <w:ind w:firstLine="480" w:firstLineChars="200"/>
              <w:rPr>
                <w:sz w:val="24"/>
              </w:rPr>
            </w:pPr>
            <w:r>
              <w:rPr>
                <w:rFonts w:hint="eastAsia"/>
                <w:sz w:val="24"/>
              </w:rPr>
              <w:t>从监测统计结果可知，2015年湘潭市湘江常规监测断面——五星、易家湾断面的水质监测因子中除粪大肠菌群超标外，其余各监测因子均达到《地表水环境质量标准》（GB3838-2002）Ⅲ类标准要求。</w:t>
            </w:r>
          </w:p>
          <w:p>
            <w:pPr>
              <w:spacing w:line="360" w:lineRule="auto"/>
              <w:ind w:firstLine="480" w:firstLineChars="200"/>
              <w:rPr>
                <w:sz w:val="24"/>
              </w:rPr>
            </w:pPr>
            <w:r>
              <w:rPr>
                <w:rFonts w:hint="eastAsia"/>
                <w:sz w:val="24"/>
              </w:rPr>
              <w:t>五星断面、易家湾断面粪大肠菌群超标率均为52.8%，最大超标倍数均为8.2倍。两个监测断面粪大肠菌群超标主要是受区域生活污水的影响，目前湘潭市河西污水处理厂提标工程及湘潭市河东污水处理厂扩容提标工程的正在建设，区域污水进行截流，通过管网进入污水处理厂进行处理，出水水质达到《城镇污水处理厂污染物排放标准》一级A标准，湘江水质将进一步好转。</w:t>
            </w:r>
          </w:p>
          <w:p>
            <w:pPr>
              <w:pStyle w:val="9"/>
              <w:spacing w:line="440" w:lineRule="exact"/>
              <w:ind w:firstLine="0" w:firstLineChars="0"/>
              <w:jc w:val="left"/>
              <w:rPr>
                <w:b/>
                <w:spacing w:val="4"/>
                <w:sz w:val="24"/>
                <w:szCs w:val="24"/>
              </w:rPr>
            </w:pPr>
            <w:r>
              <w:rPr>
                <w:rFonts w:hint="eastAsia"/>
                <w:b/>
                <w:spacing w:val="4"/>
                <w:sz w:val="24"/>
                <w:szCs w:val="24"/>
              </w:rPr>
              <w:t>3.1.</w:t>
            </w:r>
            <w:r>
              <w:rPr>
                <w:b/>
                <w:spacing w:val="4"/>
                <w:sz w:val="24"/>
                <w:szCs w:val="24"/>
              </w:rPr>
              <w:t>3</w:t>
            </w:r>
            <w:r>
              <w:rPr>
                <w:rFonts w:hint="eastAsia"/>
                <w:b/>
                <w:spacing w:val="4"/>
                <w:sz w:val="24"/>
                <w:szCs w:val="24"/>
              </w:rPr>
              <w:t xml:space="preserve"> </w:t>
            </w:r>
            <w:r>
              <w:rPr>
                <w:b/>
                <w:spacing w:val="4"/>
                <w:sz w:val="24"/>
                <w:szCs w:val="24"/>
              </w:rPr>
              <w:t>声环境质量现状调查与评价</w:t>
            </w:r>
          </w:p>
          <w:p>
            <w:pPr>
              <w:spacing w:line="360" w:lineRule="auto"/>
              <w:ind w:firstLine="480" w:firstLineChars="200"/>
              <w:rPr>
                <w:sz w:val="24"/>
              </w:rPr>
            </w:pPr>
            <w:r>
              <w:rPr>
                <w:rFonts w:hint="eastAsia"/>
                <w:sz w:val="24"/>
              </w:rPr>
              <w:t>依据《湘潭市城区环境噪声适应区划分标准》，整体工程所在区域南、西、北场界执行《声环境质量标准》（GB3096-2008）4a类标准，东厂界执行GB3096-2008中3类标准。</w:t>
            </w:r>
          </w:p>
          <w:p>
            <w:pPr>
              <w:spacing w:line="360" w:lineRule="auto"/>
              <w:ind w:firstLine="480" w:firstLineChars="200"/>
              <w:rPr>
                <w:sz w:val="24"/>
              </w:rPr>
            </w:pPr>
            <w:r>
              <w:rPr>
                <w:sz w:val="24"/>
              </w:rPr>
              <w:t>为了解建设项目周围声环境状况，</w:t>
            </w:r>
            <w:r>
              <w:rPr>
                <w:rFonts w:hint="eastAsia"/>
                <w:sz w:val="24"/>
              </w:rPr>
              <w:t>评价单位委托湖南精科检测有限公司于</w:t>
            </w:r>
            <w:r>
              <w:rPr>
                <w:sz w:val="24"/>
              </w:rPr>
              <w:t>201</w:t>
            </w:r>
            <w:r>
              <w:rPr>
                <w:rFonts w:hint="eastAsia"/>
                <w:sz w:val="24"/>
              </w:rPr>
              <w:t>7</w:t>
            </w:r>
            <w:r>
              <w:rPr>
                <w:sz w:val="24"/>
              </w:rPr>
              <w:t>年</w:t>
            </w:r>
            <w:r>
              <w:rPr>
                <w:rFonts w:hint="eastAsia"/>
                <w:sz w:val="24"/>
              </w:rPr>
              <w:t>6</w:t>
            </w:r>
            <w:r>
              <w:rPr>
                <w:sz w:val="24"/>
              </w:rPr>
              <w:t>月</w:t>
            </w:r>
            <w:r>
              <w:rPr>
                <w:rFonts w:hint="eastAsia"/>
                <w:sz w:val="24"/>
              </w:rPr>
              <w:t>7~8日</w:t>
            </w:r>
            <w:r>
              <w:rPr>
                <w:sz w:val="24"/>
              </w:rPr>
              <w:t>对项目</w:t>
            </w:r>
            <w:r>
              <w:rPr>
                <w:rFonts w:hint="eastAsia"/>
                <w:sz w:val="24"/>
              </w:rPr>
              <w:t>场界（N1~N4）分别进行</w:t>
            </w:r>
            <w:r>
              <w:rPr>
                <w:sz w:val="24"/>
              </w:rPr>
              <w:t>了监测</w:t>
            </w:r>
            <w:r>
              <w:rPr>
                <w:rFonts w:hint="eastAsia"/>
                <w:sz w:val="24"/>
              </w:rPr>
              <w:t>。</w:t>
            </w:r>
          </w:p>
          <w:p>
            <w:pPr>
              <w:spacing w:line="360" w:lineRule="auto"/>
              <w:ind w:firstLine="480" w:firstLineChars="200"/>
              <w:rPr>
                <w:sz w:val="24"/>
              </w:rPr>
            </w:pPr>
            <w:r>
              <w:rPr>
                <w:rFonts w:hint="eastAsia"/>
                <w:sz w:val="24"/>
              </w:rPr>
              <w:t>（1）</w:t>
            </w:r>
            <w:r>
              <w:rPr>
                <w:sz w:val="24"/>
              </w:rPr>
              <w:t>监测</w:t>
            </w:r>
            <w:r>
              <w:rPr>
                <w:rFonts w:hint="eastAsia"/>
                <w:sz w:val="24"/>
              </w:rPr>
              <w:t>点位：</w:t>
            </w:r>
          </w:p>
          <w:p>
            <w:pPr>
              <w:spacing w:line="360" w:lineRule="auto"/>
              <w:ind w:firstLine="480" w:firstLineChars="200"/>
              <w:rPr>
                <w:sz w:val="24"/>
              </w:rPr>
            </w:pPr>
            <w:r>
              <w:rPr>
                <w:rFonts w:hint="eastAsia"/>
                <w:sz w:val="24"/>
              </w:rPr>
              <w:t>N1：整体工程南面厂界外1m处；</w:t>
            </w:r>
          </w:p>
          <w:p>
            <w:pPr>
              <w:spacing w:line="360" w:lineRule="auto"/>
              <w:ind w:firstLine="480" w:firstLineChars="200"/>
              <w:rPr>
                <w:sz w:val="24"/>
              </w:rPr>
            </w:pPr>
            <w:r>
              <w:rPr>
                <w:rFonts w:hint="eastAsia"/>
                <w:sz w:val="24"/>
              </w:rPr>
              <w:t>N2：整体工程西面厂界外1m处；</w:t>
            </w:r>
          </w:p>
          <w:p>
            <w:pPr>
              <w:spacing w:line="360" w:lineRule="auto"/>
              <w:ind w:firstLine="480" w:firstLineChars="200"/>
              <w:rPr>
                <w:sz w:val="24"/>
              </w:rPr>
            </w:pPr>
            <w:r>
              <w:rPr>
                <w:rFonts w:hint="eastAsia"/>
                <w:sz w:val="24"/>
              </w:rPr>
              <w:t>N3：整体工程北面厂界外1m处；</w:t>
            </w:r>
          </w:p>
          <w:p>
            <w:pPr>
              <w:spacing w:line="360" w:lineRule="auto"/>
              <w:ind w:firstLine="480" w:firstLineChars="200"/>
              <w:rPr>
                <w:sz w:val="24"/>
              </w:rPr>
            </w:pPr>
            <w:r>
              <w:rPr>
                <w:rFonts w:hint="eastAsia"/>
                <w:sz w:val="24"/>
              </w:rPr>
              <w:t>N4：整体工程东面厂界外1m处，具体位置见图3-2。</w:t>
            </w:r>
          </w:p>
          <w:p>
            <w:pPr>
              <w:pStyle w:val="7"/>
              <w:ind w:firstLine="0" w:firstLineChars="0"/>
              <w:jc w:val="center"/>
            </w:pPr>
            <w:r>
              <w:rPr>
                <w:rFonts w:ascii="宋体" w:hAnsi="宋体"/>
                <w:b/>
                <w:bCs/>
                <w:color w:val="00B050"/>
                <w:spacing w:val="-8"/>
                <w:sz w:val="28"/>
                <w:szCs w:val="28"/>
              </w:rPr>
              <w:pict>
                <v:shape id="_x0000_s3737" o:spid="_x0000_s3737" style="position:absolute;left:0pt;margin-left:142.4pt;margin-top:78.95pt;height:105.7pt;width:98.75pt;z-index:251694080;mso-width-relative:page;mso-height-relative:page;" fillcolor="#FF00FF" filled="t" stroked="t" coordsize="1975,2114" path="m68,443l622,244,1373,2114,1975,1927,1291,0,0,300,68,443xe">
                  <v:path arrowok="t"/>
                  <v:fill on="t" opacity="19661f" focussize="0,0"/>
                  <v:stroke color="#FF00FF"/>
                  <v:imagedata o:title=""/>
                  <o:lock v:ext="edit"/>
                </v:shape>
              </w:pict>
            </w:r>
            <w:r>
              <w:rPr>
                <w:rFonts w:ascii="宋体" w:hAnsi="宋体"/>
                <w:b/>
                <w:bCs/>
                <w:color w:val="00B050"/>
                <w:spacing w:val="-8"/>
                <w:sz w:val="28"/>
                <w:szCs w:val="28"/>
              </w:rPr>
              <w:pict>
                <v:shape id="_x0000_s3736" o:spid="_x0000_s3736" o:spt="62" type="#_x0000_t62" style="position:absolute;left:0pt;margin-left:194.15pt;margin-top:250.6pt;height:46.25pt;width:134.8pt;z-index:251693056;mso-width-relative:page;mso-height-relative:page;" coordsize="21600,21600" adj="1682,-30497">
                  <v:path/>
                  <v:fill focussize="0,0"/>
                  <v:stroke joinstyle="miter"/>
                  <v:imagedata o:title=""/>
                  <o:lock v:ext="edit"/>
                  <v:textbox>
                    <w:txbxContent>
                      <w:p>
                        <w:pPr>
                          <w:rPr>
                            <w:b/>
                          </w:rPr>
                        </w:pPr>
                        <w:r>
                          <w:rPr>
                            <w:rFonts w:hint="eastAsia"/>
                            <w:b/>
                          </w:rPr>
                          <w:t>舍弗勒（湘潭）公司项目整体工程用地红线示意</w:t>
                        </w:r>
                      </w:p>
                    </w:txbxContent>
                  </v:textbox>
                </v:shape>
              </w:pict>
            </w:r>
            <w:r>
              <w:pict>
                <v:shape id="_x0000_s3383" o:spid="_x0000_s3383" o:spt="202" type="#_x0000_t202" style="position:absolute;left:0pt;margin-left:180.5pt;margin-top:97.6pt;height:38.4pt;width:59.2pt;z-index:251695104;mso-width-relative:margin;mso-height-relative:margin;mso-height-percent:200;" filled="f" stroked="f" coordsize="21600,21600">
                  <v:path/>
                  <v:fill on="f" focussize="0,0"/>
                  <v:stroke on="f" joinstyle="miter"/>
                  <v:imagedata o:title=""/>
                  <o:lock v:ext="edit"/>
                  <v:textbox style="mso-fit-shape-to-text:t;">
                    <w:txbxContent>
                      <w:p>
                        <w:pPr>
                          <w:rPr>
                            <w:b/>
                            <w:color w:val="FF0000"/>
                          </w:rPr>
                        </w:pPr>
                        <w:r>
                          <w:rPr>
                            <w:rFonts w:hint="eastAsia"/>
                            <w:b/>
                            <w:color w:val="FF0000"/>
                          </w:rPr>
                          <w:t>一期工</w:t>
                        </w:r>
                      </w:p>
                      <w:p>
                        <w:pPr>
                          <w:rPr>
                            <w:b/>
                            <w:color w:val="FF0000"/>
                          </w:rPr>
                        </w:pPr>
                        <w:r>
                          <w:rPr>
                            <w:rFonts w:hint="eastAsia"/>
                            <w:b/>
                            <w:color w:val="FF0000"/>
                          </w:rPr>
                          <w:t>程范围</w:t>
                        </w:r>
                      </w:p>
                    </w:txbxContent>
                  </v:textbox>
                </v:shape>
              </w:pict>
            </w:r>
            <w:r>
              <w:pict>
                <v:shape id="_x0000_s3385" o:spid="_x0000_s3385" o:spt="202" type="#_x0000_t202" style="position:absolute;left:0pt;margin-left:184.15pt;margin-top:54.1pt;height:22.8pt;width:34.5pt;z-index:251614208;mso-width-relative:margin;mso-height-relative:margin;mso-height-percent:200;" filled="f" stroked="f" coordsize="21600,21600">
                  <v:path/>
                  <v:fill on="f" focussize="0,0"/>
                  <v:stroke on="f" joinstyle="miter"/>
                  <v:imagedata o:title=""/>
                  <o:lock v:ext="edit"/>
                  <v:textbox style="mso-fit-shape-to-text:t;">
                    <w:txbxContent>
                      <w:p>
                        <w:pPr>
                          <w:rPr>
                            <w:b/>
                            <w:color w:val="FFFFFF"/>
                          </w:rPr>
                        </w:pPr>
                        <w:r>
                          <w:rPr>
                            <w:rFonts w:hint="eastAsia"/>
                            <w:b/>
                            <w:color w:val="FFFFFF"/>
                          </w:rPr>
                          <w:t>N3</w:t>
                        </w:r>
                      </w:p>
                    </w:txbxContent>
                  </v:textbox>
                </v:shape>
              </w:pict>
            </w:r>
            <w:r>
              <w:rPr>
                <w:rFonts w:hint="eastAsia" w:ascii="宋体" w:hAnsi="宋体"/>
                <w:b/>
                <w:bCs/>
                <w:color w:val="00B050"/>
                <w:spacing w:val="-8"/>
                <w:sz w:val="28"/>
                <w:szCs w:val="28"/>
              </w:rPr>
              <w:drawing>
                <wp:anchor distT="0" distB="0" distL="114300" distR="114300" simplePos="0" relativeHeight="251656192" behindDoc="0" locked="0" layoutInCell="1" allowOverlap="1">
                  <wp:simplePos x="0" y="0"/>
                  <wp:positionH relativeFrom="column">
                    <wp:posOffset>40005</wp:posOffset>
                  </wp:positionH>
                  <wp:positionV relativeFrom="paragraph">
                    <wp:posOffset>50800</wp:posOffset>
                  </wp:positionV>
                  <wp:extent cx="553720" cy="636270"/>
                  <wp:effectExtent l="19050" t="0" r="0" b="0"/>
                  <wp:wrapNone/>
                  <wp:docPr id="160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 name="图片 4"/>
                          <pic:cNvPicPr>
                            <a:picLocks noChangeAspect="1" noChangeArrowheads="1"/>
                          </pic:cNvPicPr>
                        </pic:nvPicPr>
                        <pic:blipFill>
                          <a:blip r:embed="rId26"/>
                          <a:srcRect/>
                          <a:stretch>
                            <a:fillRect/>
                          </a:stretch>
                        </pic:blipFill>
                        <pic:spPr>
                          <a:xfrm>
                            <a:off x="0" y="0"/>
                            <a:ext cx="553720" cy="636270"/>
                          </a:xfrm>
                          <a:prstGeom prst="rect">
                            <a:avLst/>
                          </a:prstGeom>
                          <a:noFill/>
                          <a:ln w="9525">
                            <a:noFill/>
                            <a:miter lim="800000"/>
                            <a:headEnd/>
                            <a:tailEnd/>
                          </a:ln>
                        </pic:spPr>
                      </pic:pic>
                    </a:graphicData>
                  </a:graphic>
                </wp:anchor>
              </w:drawing>
            </w:r>
            <w:r>
              <w:rPr>
                <w:rFonts w:ascii="宋体" w:hAnsi="宋体"/>
                <w:b/>
                <w:bCs/>
                <w:spacing w:val="-8"/>
                <w:sz w:val="28"/>
                <w:szCs w:val="28"/>
              </w:rPr>
              <w:pict>
                <v:shape id="_x0000_s3571" o:spid="_x0000_s3571" o:spt="202" type="#_x0000_t202" style="position:absolute;left:0pt;margin-left:262.7pt;margin-top:107.65pt;height:22.8pt;width:34.5pt;z-index:251625472;mso-width-relative:margin;mso-height-relative:margin;mso-height-percent:200;" filled="f" stroked="f" coordsize="21600,21600">
                  <v:path/>
                  <v:fill on="f" focussize="0,0"/>
                  <v:stroke on="f" joinstyle="miter"/>
                  <v:imagedata o:title=""/>
                  <o:lock v:ext="edit"/>
                  <v:textbox style="mso-fit-shape-to-text:t;">
                    <w:txbxContent>
                      <w:p>
                        <w:pPr>
                          <w:rPr>
                            <w:b/>
                            <w:color w:val="FFFFFF"/>
                          </w:rPr>
                        </w:pPr>
                        <w:r>
                          <w:rPr>
                            <w:rFonts w:hint="eastAsia"/>
                            <w:b/>
                            <w:color w:val="FFFFFF"/>
                          </w:rPr>
                          <w:t>N4</w:t>
                        </w:r>
                      </w:p>
                    </w:txbxContent>
                  </v:textbox>
                </v:shape>
              </w:pict>
            </w:r>
            <w:r>
              <w:rPr>
                <w:rFonts w:ascii="宋体" w:hAnsi="宋体"/>
                <w:b/>
                <w:bCs/>
                <w:color w:val="00B050"/>
                <w:spacing w:val="-8"/>
                <w:sz w:val="28"/>
                <w:szCs w:val="28"/>
              </w:rPr>
              <w:pict>
                <v:shape id="_x0000_s3654" o:spid="_x0000_s3654" o:spt="202" type="#_x0000_t202" style="position:absolute;left:0pt;margin-left:157.4pt;margin-top:68.45pt;height:22.8pt;width:31.1pt;z-index:251653120;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昭</w:t>
                        </w:r>
                      </w:p>
                    </w:txbxContent>
                  </v:textbox>
                </v:shape>
              </w:pict>
            </w:r>
            <w:r>
              <w:rPr>
                <w:rFonts w:ascii="宋体" w:hAnsi="宋体"/>
                <w:b/>
                <w:bCs/>
                <w:color w:val="00B050"/>
                <w:spacing w:val="-8"/>
                <w:sz w:val="28"/>
                <w:szCs w:val="28"/>
              </w:rPr>
              <w:pict>
                <v:shape id="_x0000_s3656" o:spid="_x0000_s3656" o:spt="202" type="#_x0000_t202" style="position:absolute;left:0pt;margin-left:212.8pt;margin-top:56.15pt;height:22.8pt;width:31.1pt;z-index:251655168;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路</w:t>
                        </w:r>
                      </w:p>
                    </w:txbxContent>
                  </v:textbox>
                </v:shape>
              </w:pict>
            </w:r>
            <w:r>
              <w:rPr>
                <w:rFonts w:ascii="宋体" w:hAnsi="宋体"/>
                <w:b/>
                <w:bCs/>
                <w:color w:val="00B050"/>
                <w:spacing w:val="-8"/>
                <w:sz w:val="28"/>
                <w:szCs w:val="28"/>
              </w:rPr>
              <w:pict>
                <v:shape id="_x0000_s3655" o:spid="_x0000_s3655" o:spt="202" type="#_x0000_t202" style="position:absolute;left:0pt;margin-left:189.95pt;margin-top:61.15pt;height:22.8pt;width:31.1pt;z-index:251654144;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西</w:t>
                        </w:r>
                      </w:p>
                    </w:txbxContent>
                  </v:textbox>
                </v:shape>
              </w:pict>
            </w:r>
            <w:r>
              <w:rPr>
                <w:rFonts w:ascii="宋体" w:hAnsi="宋体"/>
                <w:b/>
                <w:bCs/>
                <w:color w:val="00B050"/>
                <w:spacing w:val="-8"/>
                <w:sz w:val="28"/>
                <w:szCs w:val="28"/>
              </w:rPr>
              <w:pict>
                <v:shape id="_x0000_s3653" o:spid="_x0000_s3653" o:spt="202" type="#_x0000_t202" style="position:absolute;left:0pt;margin-left:142.4pt;margin-top:73.2pt;height:22.8pt;width:31.1pt;z-index:251652096;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九</w:t>
                        </w:r>
                      </w:p>
                    </w:txbxContent>
                  </v:textbox>
                </v:shape>
              </w:pict>
            </w:r>
            <w:r>
              <w:pict>
                <v:shape id="_x0000_s3382" o:spid="_x0000_s3382" o:spt="202" type="#_x0000_t202" style="position:absolute;left:0pt;margin-left:30.55pt;margin-top:340.25pt;height:22.8pt;width:40pt;z-index:251612160;mso-width-relative:margin;mso-height-relative:margin;mso-height-percent:200;" filled="f" stroked="f" coordsize="21600,21600">
                  <v:path/>
                  <v:fill on="f" focussize="0,0"/>
                  <v:stroke on="f" joinstyle="miter"/>
                  <v:imagedata o:title=""/>
                  <o:lock v:ext="edit"/>
                  <v:textbox style="mso-fit-shape-to-text:t;">
                    <w:txbxContent>
                      <w:p>
                        <w:pPr>
                          <w:rPr>
                            <w:b/>
                          </w:rPr>
                        </w:pPr>
                        <w:r>
                          <w:rPr>
                            <w:rFonts w:hint="eastAsia"/>
                            <w:b/>
                          </w:rPr>
                          <w:t>300m</w:t>
                        </w:r>
                      </w:p>
                    </w:txbxContent>
                  </v:textbox>
                </v:shape>
              </w:pict>
            </w:r>
            <w:r>
              <w:rPr>
                <w:rFonts w:ascii="宋体" w:hAnsi="宋体"/>
                <w:b/>
                <w:bCs/>
                <w:color w:val="00B050"/>
                <w:spacing w:val="-8"/>
                <w:sz w:val="28"/>
                <w:szCs w:val="28"/>
              </w:rPr>
              <w:pict>
                <v:shape id="_x0000_s3652" o:spid="_x0000_s3652" o:spt="202" type="#_x0000_t202" style="position:absolute;left:0pt;margin-left:158.85pt;margin-top:165.15pt;height:22.8pt;width:31.1pt;z-index:251651072;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道</w:t>
                        </w:r>
                      </w:p>
                    </w:txbxContent>
                  </v:textbox>
                </v:shape>
              </w:pict>
            </w:r>
            <w:r>
              <w:rPr>
                <w:rFonts w:ascii="宋体" w:hAnsi="宋体"/>
                <w:b/>
                <w:bCs/>
                <w:color w:val="00B050"/>
                <w:spacing w:val="-8"/>
                <w:sz w:val="28"/>
                <w:szCs w:val="28"/>
              </w:rPr>
              <w:pict>
                <v:shape id="_x0000_s3651" o:spid="_x0000_s3651" o:spt="202" type="#_x0000_t202" style="position:absolute;left:0pt;margin-left:149.4pt;margin-top:146.2pt;height:22.8pt;width:31.1pt;z-index:251650048;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大</w:t>
                        </w:r>
                      </w:p>
                    </w:txbxContent>
                  </v:textbox>
                </v:shape>
              </w:pict>
            </w:r>
            <w:r>
              <w:rPr>
                <w:rFonts w:ascii="宋体" w:hAnsi="宋体"/>
                <w:b/>
                <w:bCs/>
                <w:color w:val="00B050"/>
                <w:spacing w:val="-8"/>
                <w:sz w:val="28"/>
                <w:szCs w:val="28"/>
              </w:rPr>
              <w:pict>
                <v:shape id="_x0000_s3650" o:spid="_x0000_s3650" o:spt="202" type="#_x0000_t202" style="position:absolute;left:0pt;margin-left:135.65pt;margin-top:115.45pt;height:22.8pt;width:31.1pt;z-index:251649024;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南</w:t>
                        </w:r>
                      </w:p>
                    </w:txbxContent>
                  </v:textbox>
                </v:shape>
              </w:pict>
            </w:r>
            <w:r>
              <w:rPr>
                <w:rFonts w:ascii="宋体" w:hAnsi="宋体"/>
                <w:b/>
                <w:bCs/>
                <w:color w:val="00B050"/>
                <w:spacing w:val="-8"/>
                <w:sz w:val="28"/>
                <w:szCs w:val="28"/>
              </w:rPr>
              <w:pict>
                <v:shape id="_x0000_s3646" o:spid="_x0000_s3646" o:spt="202" type="#_x0000_t202" style="position:absolute;left:0pt;margin-left:127.55pt;margin-top:94.05pt;height:22.8pt;width:31.1pt;z-index:251644928;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江</w:t>
                        </w:r>
                      </w:p>
                    </w:txbxContent>
                  </v:textbox>
                </v:shape>
              </w:pict>
            </w:r>
            <w:r>
              <w:rPr>
                <w:rFonts w:ascii="宋体" w:hAnsi="宋体"/>
                <w:b/>
                <w:bCs/>
                <w:color w:val="00B050"/>
                <w:spacing w:val="-8"/>
                <w:sz w:val="28"/>
                <w:szCs w:val="28"/>
              </w:rPr>
              <w:pict>
                <v:shape id="_x0000_s3649" o:spid="_x0000_s3649" o:spt="202" type="#_x0000_t202" style="position:absolute;left:0pt;margin-left:344.35pt;margin-top:136pt;height:22.8pt;width:36.15pt;z-index:251648000;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路</w:t>
                        </w:r>
                      </w:p>
                    </w:txbxContent>
                  </v:textbox>
                </v:shape>
              </w:pict>
            </w:r>
            <w:r>
              <w:rPr>
                <w:rFonts w:ascii="宋体" w:hAnsi="宋体"/>
                <w:b/>
                <w:bCs/>
                <w:color w:val="00B050"/>
                <w:spacing w:val="-8"/>
                <w:sz w:val="28"/>
                <w:szCs w:val="28"/>
              </w:rPr>
              <w:pict>
                <v:shape id="_x0000_s3648" o:spid="_x0000_s3648" o:spt="202" type="#_x0000_t202" style="position:absolute;left:0pt;margin-left:323.8pt;margin-top:143.75pt;height:22.8pt;width:33.8pt;z-index:251646976;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西</w:t>
                        </w:r>
                      </w:p>
                    </w:txbxContent>
                  </v:textbox>
                </v:shape>
              </w:pict>
            </w:r>
            <w:r>
              <w:rPr>
                <w:rFonts w:ascii="宋体" w:hAnsi="宋体"/>
                <w:b/>
                <w:bCs/>
                <w:color w:val="00B050"/>
                <w:spacing w:val="-8"/>
                <w:sz w:val="28"/>
                <w:szCs w:val="28"/>
              </w:rPr>
              <w:pict>
                <v:shape id="_x0000_s3647" o:spid="_x0000_s3647" o:spt="202" type="#_x0000_t202" style="position:absolute;left:0pt;margin-left:300.1pt;margin-top:147.6pt;height:26.9pt;width:44.95pt;z-index:251645952;mso-width-relative:margin;mso-height-relative:margin;" filled="f" stroked="f" coordsize="21600,21600">
                  <v:path/>
                  <v:fill on="f" focussize="0,0"/>
                  <v:stroke on="f" joinstyle="miter"/>
                  <v:imagedata o:title=""/>
                  <o:lock v:ext="edit"/>
                  <v:textbox>
                    <w:txbxContent>
                      <w:p>
                        <w:pPr>
                          <w:ind w:firstLine="105" w:firstLineChars="50"/>
                          <w:rPr>
                            <w:b/>
                            <w:color w:val="FFFFFF"/>
                          </w:rPr>
                        </w:pPr>
                        <w:r>
                          <w:rPr>
                            <w:rFonts w:hint="eastAsia"/>
                            <w:b/>
                            <w:color w:val="FFFFFF"/>
                          </w:rPr>
                          <w:t>石</w:t>
                        </w:r>
                      </w:p>
                    </w:txbxContent>
                  </v:textbox>
                </v:shape>
              </w:pict>
            </w:r>
            <w:r>
              <w:rPr>
                <w:rFonts w:ascii="宋体" w:hAnsi="宋体"/>
                <w:b/>
                <w:bCs/>
                <w:spacing w:val="-8"/>
                <w:sz w:val="28"/>
                <w:szCs w:val="28"/>
              </w:rPr>
              <w:pict>
                <v:shape id="_x0000_s3406" o:spid="_x0000_s3406" o:spt="202" type="#_x0000_t202" style="position:absolute;left:0pt;margin-left:278.15pt;margin-top:153.8pt;height:22.8pt;width:36.8pt;z-index:251622400;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白</w:t>
                        </w:r>
                      </w:p>
                    </w:txbxContent>
                  </v:textbox>
                </v:shape>
              </w:pict>
            </w:r>
            <w:r>
              <w:rPr>
                <w:rFonts w:ascii="宋体" w:hAnsi="宋体"/>
                <w:b/>
                <w:bCs/>
                <w:spacing w:val="-8"/>
                <w:sz w:val="28"/>
                <w:szCs w:val="28"/>
              </w:rPr>
              <w:pict>
                <v:shape id="_x0000_s3491" o:spid="_x0000_s3491" o:spt="202" type="#_x0000_t202" style="position:absolute;left:0pt;margin-left:347.35pt;margin-top:321.95pt;height:22.8pt;width:108.7pt;z-index:251623424;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图例：</w:t>
                        </w:r>
                      </w:p>
                    </w:txbxContent>
                  </v:textbox>
                </v:shape>
              </w:pict>
            </w:r>
            <w:r>
              <w:pict>
                <v:shape id="_x0000_s3394" o:spid="_x0000_s3394" o:spt="5" type="#_x0000_t5" style="position:absolute;left:0pt;margin-left:353.45pt;margin-top:348.7pt;height:7.15pt;width:8.2pt;z-index:251617280;mso-width-relative:page;mso-height-relative:page;" fillcolor="#0066FF" filled="t" coordsize="21600,21600">
                  <v:path/>
                  <v:fill on="t" focussize="0,0"/>
                  <v:stroke joinstyle="miter"/>
                  <v:imagedata o:title=""/>
                  <o:lock v:ext="edit"/>
                </v:shape>
              </w:pict>
            </w:r>
            <w:r>
              <w:pict>
                <v:shape id="_x0000_s3392" o:spid="_x0000_s3392" o:spt="202" type="#_x0000_t202" style="position:absolute;left:0pt;margin-left:361.65pt;margin-top:341.65pt;height:22.8pt;width:108.7pt;z-index:251616256;mso-width-relative:margin;mso-height-relative:margin;mso-height-percent:200;" filled="f" stroked="f" coordsize="21600,21600">
                  <v:path/>
                  <v:fill on="f" focussize="0,0"/>
                  <v:stroke on="f" joinstyle="miter"/>
                  <v:imagedata o:title=""/>
                  <o:lock v:ext="edit"/>
                  <v:textbox style="mso-fit-shape-to-text:t;">
                    <w:txbxContent>
                      <w:p>
                        <w:pPr>
                          <w:ind w:firstLine="105" w:firstLineChars="50"/>
                          <w:rPr>
                            <w:b/>
                            <w:color w:val="FFFFFF"/>
                          </w:rPr>
                        </w:pPr>
                        <w:r>
                          <w:rPr>
                            <w:rFonts w:hint="eastAsia"/>
                            <w:b/>
                            <w:color w:val="FFFFFF"/>
                          </w:rPr>
                          <w:t>噪声现状监测点</w:t>
                        </w:r>
                      </w:p>
                    </w:txbxContent>
                  </v:textbox>
                </v:shape>
              </w:pict>
            </w:r>
            <w:r>
              <w:rPr>
                <w:rFonts w:ascii="宋体" w:hAnsi="宋体"/>
                <w:b/>
                <w:bCs/>
                <w:spacing w:val="-8"/>
                <w:sz w:val="28"/>
                <w:szCs w:val="28"/>
              </w:rPr>
              <w:pict>
                <v:shape id="_x0000_s3570" o:spid="_x0000_s3570" o:spt="5" type="#_x0000_t5" style="position:absolute;left:0pt;margin-left:269.95pt;margin-top:125.4pt;height:7.15pt;width:8.2pt;z-index:251624448;mso-width-relative:page;mso-height-relative:page;" fillcolor="#0066FF" filled="t" coordsize="21600,21600">
                  <v:path/>
                  <v:fill on="t" focussize="0,0"/>
                  <v:stroke joinstyle="miter"/>
                  <v:imagedata o:title=""/>
                  <o:lock v:ext="edit"/>
                </v:shape>
              </w:pict>
            </w:r>
            <w:r>
              <w:pict>
                <v:shape id="_x0000_s3395" o:spid="_x0000_s3395" o:spt="5" type="#_x0000_t5" style="position:absolute;left:0pt;margin-left:185.95pt;margin-top:73.2pt;height:7.15pt;width:8.2pt;z-index:251618304;mso-width-relative:page;mso-height-relative:page;" fillcolor="#0066FF" filled="t" coordsize="21600,21600">
                  <v:path/>
                  <v:fill on="t" focussize="0,0"/>
                  <v:stroke joinstyle="miter"/>
                  <v:imagedata o:title=""/>
                  <o:lock v:ext="edit"/>
                </v:shape>
              </w:pict>
            </w:r>
            <w:r>
              <w:pict>
                <v:shape id="_x0000_s3397" o:spid="_x0000_s3397" o:spt="5" type="#_x0000_t5" style="position:absolute;left:0pt;margin-left:236.4pt;margin-top:176.6pt;height:7.15pt;width:8.2pt;z-index:251620352;mso-width-relative:page;mso-height-relative:page;" fillcolor="#0066FF" filled="t" coordsize="21600,21600">
                  <v:path/>
                  <v:fill on="t" focussize="0,0"/>
                  <v:stroke joinstyle="miter"/>
                  <v:imagedata o:title=""/>
                  <o:lock v:ext="edit"/>
                </v:shape>
              </w:pict>
            </w:r>
            <w:r>
              <w:pict>
                <v:shape id="_x0000_s3384" o:spid="_x0000_s3384" o:spt="202" type="#_x0000_t202" style="position:absolute;left:0pt;margin-left:154.15pt;margin-top:116.85pt;height:22.8pt;width:40pt;z-index:251613184;mso-width-relative:margin;mso-height-relative:margin;mso-height-percent:200;" filled="f" stroked="f" coordsize="21600,21600">
                  <v:path/>
                  <v:fill on="f" focussize="0,0"/>
                  <v:stroke on="f" joinstyle="miter"/>
                  <v:imagedata o:title=""/>
                  <o:lock v:ext="edit"/>
                  <v:textbox style="mso-fit-shape-to-text:t;">
                    <w:txbxContent>
                      <w:p>
                        <w:pPr>
                          <w:rPr>
                            <w:b/>
                            <w:color w:val="FFFFFF"/>
                          </w:rPr>
                        </w:pPr>
                        <w:r>
                          <w:rPr>
                            <w:rFonts w:hint="eastAsia"/>
                            <w:b/>
                            <w:color w:val="FFFFFF"/>
                          </w:rPr>
                          <w:t>N2</w:t>
                        </w:r>
                      </w:p>
                    </w:txbxContent>
                  </v:textbox>
                </v:shape>
              </w:pict>
            </w:r>
            <w:r>
              <w:pict>
                <v:shape id="_x0000_s3386" o:spid="_x0000_s3386" o:spt="202" type="#_x0000_t202" style="position:absolute;left:0pt;margin-left:218.5pt;margin-top:166.55pt;height:22.8pt;width:34.5pt;z-index:251615232;mso-width-relative:margin;mso-height-relative:margin;mso-height-percent:200;" filled="f" stroked="f" coordsize="21600,21600">
                  <v:path/>
                  <v:fill on="f" focussize="0,0"/>
                  <v:stroke on="f" joinstyle="miter"/>
                  <v:imagedata o:title=""/>
                  <o:lock v:ext="edit"/>
                  <v:textbox style="mso-fit-shape-to-text:t;">
                    <w:txbxContent>
                      <w:p>
                        <w:pPr>
                          <w:rPr>
                            <w:b/>
                            <w:color w:val="FFFFFF"/>
                          </w:rPr>
                        </w:pPr>
                        <w:r>
                          <w:rPr>
                            <w:rFonts w:hint="eastAsia"/>
                            <w:b/>
                            <w:color w:val="FFFFFF"/>
                          </w:rPr>
                          <w:t>N1</w:t>
                        </w:r>
                      </w:p>
                    </w:txbxContent>
                  </v:textbox>
                </v:shape>
              </w:pict>
            </w:r>
            <w:r>
              <w:pict>
                <v:shape id="_x0000_s3396" o:spid="_x0000_s3396" o:spt="5" type="#_x0000_t5" style="position:absolute;left:0pt;margin-left:158.65pt;margin-top:133.9pt;height:7.15pt;width:8.2pt;z-index:251619328;mso-width-relative:page;mso-height-relative:page;" fillcolor="#0066FF" filled="t" coordsize="21600,21600">
                  <v:path/>
                  <v:fill on="t" focussize="0,0"/>
                  <v:stroke joinstyle="miter"/>
                  <v:imagedata o:title=""/>
                  <o:lock v:ext="edit"/>
                </v:shape>
              </w:pict>
            </w:r>
            <w:r>
              <w:rPr>
                <w:rFonts w:hint="eastAsia"/>
              </w:rPr>
              <w:drawing>
                <wp:inline distT="0" distB="0" distL="0" distR="0">
                  <wp:extent cx="5905500" cy="4629150"/>
                  <wp:effectExtent l="19050" t="19050" r="19050" b="190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7"/>
                          <a:srcRect/>
                          <a:stretch>
                            <a:fillRect/>
                          </a:stretch>
                        </pic:blipFill>
                        <pic:spPr>
                          <a:xfrm>
                            <a:off x="0" y="0"/>
                            <a:ext cx="5905500" cy="4629150"/>
                          </a:xfrm>
                          <a:prstGeom prst="rect">
                            <a:avLst/>
                          </a:prstGeom>
                          <a:noFill/>
                          <a:ln w="19050" cmpd="sng">
                            <a:solidFill>
                              <a:srgbClr val="000000"/>
                            </a:solidFill>
                            <a:miter lim="800000"/>
                            <a:headEnd/>
                            <a:tailEnd/>
                          </a:ln>
                          <a:effectLst/>
                        </pic:spPr>
                      </pic:pic>
                    </a:graphicData>
                  </a:graphic>
                </wp:inline>
              </w:drawing>
            </w:r>
          </w:p>
          <w:p>
            <w:pPr>
              <w:snapToGrid w:val="0"/>
              <w:spacing w:afterLines="50" w:line="360" w:lineRule="auto"/>
              <w:jc w:val="center"/>
              <w:rPr>
                <w:b/>
                <w:sz w:val="24"/>
              </w:rPr>
            </w:pPr>
            <w:r>
              <w:rPr>
                <w:rFonts w:hint="eastAsia"/>
                <w:b/>
                <w:sz w:val="24"/>
              </w:rPr>
              <w:t>图3-2  声环境质量现状监测布点示意图</w:t>
            </w:r>
          </w:p>
          <w:p>
            <w:pPr>
              <w:spacing w:line="360" w:lineRule="auto"/>
              <w:ind w:firstLine="480" w:firstLineChars="200"/>
              <w:rPr>
                <w:sz w:val="24"/>
              </w:rPr>
            </w:pPr>
            <w:r>
              <w:rPr>
                <w:rFonts w:hint="eastAsia"/>
                <w:sz w:val="24"/>
              </w:rPr>
              <w:t>（2）监测因子：等效连续A声级</w:t>
            </w:r>
          </w:p>
          <w:p>
            <w:pPr>
              <w:spacing w:line="360" w:lineRule="auto"/>
              <w:ind w:firstLine="480" w:firstLineChars="200"/>
              <w:rPr>
                <w:sz w:val="24"/>
              </w:rPr>
            </w:pPr>
            <w:r>
              <w:rPr>
                <w:rFonts w:hint="eastAsia"/>
                <w:sz w:val="24"/>
              </w:rPr>
              <w:t>（3）</w:t>
            </w:r>
            <w:r>
              <w:rPr>
                <w:sz w:val="24"/>
              </w:rPr>
              <w:t>监测时段、频率</w:t>
            </w:r>
            <w:r>
              <w:rPr>
                <w:rFonts w:hint="eastAsia"/>
                <w:sz w:val="24"/>
              </w:rPr>
              <w:t>：</w:t>
            </w:r>
            <w:r>
              <w:rPr>
                <w:sz w:val="24"/>
              </w:rPr>
              <w:t>连续监测</w:t>
            </w:r>
            <w:r>
              <w:rPr>
                <w:rFonts w:hint="eastAsia"/>
                <w:sz w:val="24"/>
              </w:rPr>
              <w:t>2天</w:t>
            </w:r>
            <w:r>
              <w:rPr>
                <w:sz w:val="24"/>
              </w:rPr>
              <w:t>，每天</w:t>
            </w:r>
            <w:r>
              <w:rPr>
                <w:rFonts w:hint="eastAsia"/>
                <w:sz w:val="24"/>
              </w:rPr>
              <w:t>昼夜各1</w:t>
            </w:r>
            <w:r>
              <w:rPr>
                <w:sz w:val="24"/>
              </w:rPr>
              <w:t>次。</w:t>
            </w:r>
          </w:p>
          <w:p>
            <w:pPr>
              <w:spacing w:line="360" w:lineRule="auto"/>
              <w:ind w:firstLine="480" w:firstLineChars="200"/>
              <w:rPr>
                <w:sz w:val="24"/>
              </w:rPr>
            </w:pPr>
            <w:r>
              <w:rPr>
                <w:sz w:val="24"/>
              </w:rPr>
              <w:t>各监测点环境噪声监测统计与评价结果见表</w:t>
            </w:r>
            <w:r>
              <w:rPr>
                <w:rFonts w:hint="eastAsia"/>
                <w:sz w:val="24"/>
              </w:rPr>
              <w:t>3-3</w:t>
            </w:r>
            <w:r>
              <w:rPr>
                <w:sz w:val="24"/>
              </w:rPr>
              <w:t>。</w:t>
            </w:r>
          </w:p>
          <w:p>
            <w:pPr>
              <w:snapToGrid w:val="0"/>
              <w:spacing w:line="360" w:lineRule="auto"/>
              <w:jc w:val="center"/>
              <w:rPr>
                <w:b/>
                <w:sz w:val="24"/>
              </w:rPr>
            </w:pPr>
            <w:r>
              <w:rPr>
                <w:b/>
                <w:sz w:val="24"/>
              </w:rPr>
              <w:t>表</w:t>
            </w:r>
            <w:r>
              <w:rPr>
                <w:rFonts w:hint="eastAsia"/>
                <w:b/>
                <w:sz w:val="24"/>
              </w:rPr>
              <w:t xml:space="preserve">3-3  </w:t>
            </w:r>
            <w:r>
              <w:rPr>
                <w:b/>
                <w:sz w:val="24"/>
              </w:rPr>
              <w:t>噪声现状监测结果表         单位：dB（A）</w:t>
            </w:r>
          </w:p>
          <w:tbl>
            <w:tblPr>
              <w:tblStyle w:val="29"/>
              <w:tblW w:w="927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51"/>
              <w:gridCol w:w="919"/>
              <w:gridCol w:w="1150"/>
              <w:gridCol w:w="1044"/>
              <w:gridCol w:w="1233"/>
              <w:gridCol w:w="2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651" w:type="dxa"/>
                  <w:vMerge w:val="restart"/>
                  <w:vAlign w:val="center"/>
                </w:tcPr>
                <w:p>
                  <w:pPr>
                    <w:tabs>
                      <w:tab w:val="left" w:pos="7335"/>
                    </w:tabs>
                    <w:jc w:val="center"/>
                    <w:rPr>
                      <w:szCs w:val="21"/>
                    </w:rPr>
                  </w:pPr>
                  <w:r>
                    <w:rPr>
                      <w:rFonts w:hAnsi="宋体"/>
                      <w:szCs w:val="21"/>
                    </w:rPr>
                    <w:t>监测点</w:t>
                  </w:r>
                </w:p>
              </w:tc>
              <w:tc>
                <w:tcPr>
                  <w:tcW w:w="2069" w:type="dxa"/>
                  <w:gridSpan w:val="2"/>
                  <w:vAlign w:val="center"/>
                </w:tcPr>
                <w:p>
                  <w:pPr>
                    <w:tabs>
                      <w:tab w:val="left" w:pos="7335"/>
                    </w:tabs>
                    <w:jc w:val="center"/>
                    <w:rPr>
                      <w:rFonts w:hAnsi="宋体"/>
                      <w:szCs w:val="21"/>
                    </w:rPr>
                  </w:pPr>
                  <w:r>
                    <w:rPr>
                      <w:rFonts w:hint="eastAsia" w:hAnsi="宋体"/>
                      <w:szCs w:val="21"/>
                    </w:rPr>
                    <w:t>2017年6月7日</w:t>
                  </w:r>
                </w:p>
              </w:tc>
              <w:tc>
                <w:tcPr>
                  <w:tcW w:w="2277" w:type="dxa"/>
                  <w:gridSpan w:val="2"/>
                  <w:vAlign w:val="center"/>
                </w:tcPr>
                <w:p>
                  <w:pPr>
                    <w:tabs>
                      <w:tab w:val="left" w:pos="7335"/>
                    </w:tabs>
                    <w:jc w:val="center"/>
                    <w:rPr>
                      <w:szCs w:val="21"/>
                    </w:rPr>
                  </w:pPr>
                  <w:r>
                    <w:rPr>
                      <w:rFonts w:hint="eastAsia" w:hAnsi="宋体"/>
                      <w:szCs w:val="21"/>
                    </w:rPr>
                    <w:t>2017年6月8日</w:t>
                  </w:r>
                </w:p>
              </w:tc>
              <w:tc>
                <w:tcPr>
                  <w:tcW w:w="2276" w:type="dxa"/>
                  <w:vMerge w:val="restart"/>
                  <w:vAlign w:val="center"/>
                </w:tcPr>
                <w:p>
                  <w:pPr>
                    <w:tabs>
                      <w:tab w:val="left" w:pos="7335"/>
                    </w:tabs>
                    <w:jc w:val="center"/>
                    <w:rPr>
                      <w:rFonts w:hAnsi="宋体"/>
                      <w:szCs w:val="21"/>
                    </w:rPr>
                  </w:pPr>
                  <w:r>
                    <w:rPr>
                      <w:rFonts w:hint="eastAsia" w:hAnsi="宋体"/>
                      <w:szCs w:val="21"/>
                    </w:rPr>
                    <w:t>评价标准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651" w:type="dxa"/>
                  <w:vMerge w:val="continue"/>
                  <w:vAlign w:val="center"/>
                </w:tcPr>
                <w:p>
                  <w:pPr>
                    <w:tabs>
                      <w:tab w:val="left" w:pos="7335"/>
                    </w:tabs>
                    <w:jc w:val="center"/>
                    <w:rPr>
                      <w:szCs w:val="21"/>
                    </w:rPr>
                  </w:pPr>
                </w:p>
              </w:tc>
              <w:tc>
                <w:tcPr>
                  <w:tcW w:w="919" w:type="dxa"/>
                  <w:vAlign w:val="center"/>
                </w:tcPr>
                <w:p>
                  <w:pPr>
                    <w:tabs>
                      <w:tab w:val="left" w:pos="7335"/>
                    </w:tabs>
                    <w:jc w:val="center"/>
                    <w:rPr>
                      <w:szCs w:val="21"/>
                    </w:rPr>
                  </w:pPr>
                  <w:r>
                    <w:rPr>
                      <w:rFonts w:hint="eastAsia"/>
                      <w:szCs w:val="21"/>
                    </w:rPr>
                    <w:t>昼间</w:t>
                  </w:r>
                </w:p>
              </w:tc>
              <w:tc>
                <w:tcPr>
                  <w:tcW w:w="1150" w:type="dxa"/>
                  <w:vAlign w:val="center"/>
                </w:tcPr>
                <w:p>
                  <w:pPr>
                    <w:tabs>
                      <w:tab w:val="left" w:pos="7335"/>
                    </w:tabs>
                    <w:jc w:val="center"/>
                    <w:rPr>
                      <w:szCs w:val="21"/>
                    </w:rPr>
                  </w:pPr>
                  <w:r>
                    <w:rPr>
                      <w:rFonts w:hint="eastAsia"/>
                      <w:szCs w:val="21"/>
                    </w:rPr>
                    <w:t>夜间</w:t>
                  </w:r>
                </w:p>
              </w:tc>
              <w:tc>
                <w:tcPr>
                  <w:tcW w:w="1044" w:type="dxa"/>
                  <w:vAlign w:val="center"/>
                </w:tcPr>
                <w:p>
                  <w:pPr>
                    <w:tabs>
                      <w:tab w:val="left" w:pos="7335"/>
                    </w:tabs>
                    <w:jc w:val="center"/>
                    <w:rPr>
                      <w:szCs w:val="21"/>
                    </w:rPr>
                  </w:pPr>
                  <w:r>
                    <w:rPr>
                      <w:rFonts w:hint="eastAsia"/>
                      <w:szCs w:val="21"/>
                    </w:rPr>
                    <w:t>昼间</w:t>
                  </w:r>
                </w:p>
              </w:tc>
              <w:tc>
                <w:tcPr>
                  <w:tcW w:w="1233" w:type="dxa"/>
                  <w:vAlign w:val="center"/>
                </w:tcPr>
                <w:p>
                  <w:pPr>
                    <w:tabs>
                      <w:tab w:val="left" w:pos="7335"/>
                    </w:tabs>
                    <w:jc w:val="center"/>
                    <w:rPr>
                      <w:szCs w:val="21"/>
                    </w:rPr>
                  </w:pPr>
                  <w:r>
                    <w:rPr>
                      <w:rFonts w:hint="eastAsia"/>
                      <w:szCs w:val="21"/>
                    </w:rPr>
                    <w:t>夜间</w:t>
                  </w:r>
                </w:p>
              </w:tc>
              <w:tc>
                <w:tcPr>
                  <w:tcW w:w="2276" w:type="dxa"/>
                  <w:vMerge w:val="continue"/>
                  <w:vAlign w:val="center"/>
                </w:tcPr>
                <w:p>
                  <w:pPr>
                    <w:tabs>
                      <w:tab w:val="left" w:pos="7335"/>
                    </w:tabs>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651" w:type="dxa"/>
                  <w:vAlign w:val="center"/>
                </w:tcPr>
                <w:p>
                  <w:pPr>
                    <w:tabs>
                      <w:tab w:val="left" w:pos="7335"/>
                    </w:tabs>
                    <w:jc w:val="center"/>
                    <w:rPr>
                      <w:rFonts w:hAnsi="宋体"/>
                      <w:szCs w:val="21"/>
                    </w:rPr>
                  </w:pPr>
                  <w:r>
                    <w:rPr>
                      <w:rFonts w:hint="eastAsia" w:hAnsi="宋体"/>
                      <w:szCs w:val="21"/>
                    </w:rPr>
                    <w:t>N1：项目南面厂界外1m处</w:t>
                  </w:r>
                </w:p>
              </w:tc>
              <w:tc>
                <w:tcPr>
                  <w:tcW w:w="919" w:type="dxa"/>
                  <w:vAlign w:val="center"/>
                </w:tcPr>
                <w:p>
                  <w:pPr>
                    <w:jc w:val="center"/>
                    <w:rPr>
                      <w:szCs w:val="21"/>
                    </w:rPr>
                  </w:pPr>
                  <w:r>
                    <w:rPr>
                      <w:rFonts w:hint="eastAsia"/>
                      <w:szCs w:val="21"/>
                    </w:rPr>
                    <w:t>66.9</w:t>
                  </w:r>
                </w:p>
              </w:tc>
              <w:tc>
                <w:tcPr>
                  <w:tcW w:w="1150" w:type="dxa"/>
                  <w:vAlign w:val="center"/>
                </w:tcPr>
                <w:p>
                  <w:pPr>
                    <w:jc w:val="center"/>
                    <w:rPr>
                      <w:szCs w:val="21"/>
                    </w:rPr>
                  </w:pPr>
                  <w:r>
                    <w:rPr>
                      <w:rFonts w:hint="eastAsia"/>
                      <w:szCs w:val="21"/>
                    </w:rPr>
                    <w:t>49.4</w:t>
                  </w:r>
                </w:p>
              </w:tc>
              <w:tc>
                <w:tcPr>
                  <w:tcW w:w="1044" w:type="dxa"/>
                  <w:vAlign w:val="center"/>
                </w:tcPr>
                <w:p>
                  <w:pPr>
                    <w:jc w:val="center"/>
                    <w:rPr>
                      <w:szCs w:val="21"/>
                    </w:rPr>
                  </w:pPr>
                  <w:r>
                    <w:rPr>
                      <w:rFonts w:hint="eastAsia"/>
                      <w:szCs w:val="21"/>
                    </w:rPr>
                    <w:t>65.4</w:t>
                  </w:r>
                </w:p>
              </w:tc>
              <w:tc>
                <w:tcPr>
                  <w:tcW w:w="1233" w:type="dxa"/>
                  <w:vAlign w:val="center"/>
                </w:tcPr>
                <w:p>
                  <w:pPr>
                    <w:jc w:val="center"/>
                    <w:rPr>
                      <w:szCs w:val="21"/>
                    </w:rPr>
                  </w:pPr>
                  <w:r>
                    <w:rPr>
                      <w:rFonts w:hint="eastAsia"/>
                      <w:szCs w:val="21"/>
                    </w:rPr>
                    <w:t>48.5</w:t>
                  </w:r>
                </w:p>
              </w:tc>
              <w:tc>
                <w:tcPr>
                  <w:tcW w:w="2276" w:type="dxa"/>
                  <w:vMerge w:val="restart"/>
                  <w:vAlign w:val="center"/>
                </w:tcPr>
                <w:p>
                  <w:pPr>
                    <w:tabs>
                      <w:tab w:val="left" w:pos="7335"/>
                    </w:tabs>
                    <w:jc w:val="center"/>
                    <w:rPr>
                      <w:szCs w:val="21"/>
                    </w:rPr>
                  </w:pPr>
                  <w:r>
                    <w:rPr>
                      <w:rFonts w:hint="eastAsia" w:hAnsi="宋体"/>
                      <w:szCs w:val="21"/>
                    </w:rPr>
                    <w:t>昼间：70   夜间：55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651" w:type="dxa"/>
                  <w:vAlign w:val="center"/>
                </w:tcPr>
                <w:p>
                  <w:pPr>
                    <w:tabs>
                      <w:tab w:val="left" w:pos="7335"/>
                    </w:tabs>
                    <w:jc w:val="center"/>
                    <w:rPr>
                      <w:rFonts w:hAnsi="宋体"/>
                      <w:szCs w:val="21"/>
                    </w:rPr>
                  </w:pPr>
                  <w:r>
                    <w:rPr>
                      <w:rFonts w:hint="eastAsia" w:hAnsi="宋体"/>
                      <w:szCs w:val="21"/>
                    </w:rPr>
                    <w:t>N2：项目西面厂界外1m处</w:t>
                  </w:r>
                </w:p>
              </w:tc>
              <w:tc>
                <w:tcPr>
                  <w:tcW w:w="919" w:type="dxa"/>
                  <w:vAlign w:val="center"/>
                </w:tcPr>
                <w:p>
                  <w:pPr>
                    <w:jc w:val="center"/>
                    <w:rPr>
                      <w:szCs w:val="21"/>
                    </w:rPr>
                  </w:pPr>
                  <w:r>
                    <w:rPr>
                      <w:rFonts w:hint="eastAsia"/>
                      <w:szCs w:val="21"/>
                    </w:rPr>
                    <w:t>62.5</w:t>
                  </w:r>
                </w:p>
              </w:tc>
              <w:tc>
                <w:tcPr>
                  <w:tcW w:w="1150" w:type="dxa"/>
                  <w:vAlign w:val="center"/>
                </w:tcPr>
                <w:p>
                  <w:pPr>
                    <w:jc w:val="center"/>
                    <w:rPr>
                      <w:szCs w:val="21"/>
                    </w:rPr>
                  </w:pPr>
                  <w:r>
                    <w:rPr>
                      <w:rFonts w:hint="eastAsia"/>
                      <w:szCs w:val="21"/>
                    </w:rPr>
                    <w:t>46.7</w:t>
                  </w:r>
                </w:p>
              </w:tc>
              <w:tc>
                <w:tcPr>
                  <w:tcW w:w="1044" w:type="dxa"/>
                  <w:vAlign w:val="center"/>
                </w:tcPr>
                <w:p>
                  <w:pPr>
                    <w:jc w:val="center"/>
                    <w:rPr>
                      <w:szCs w:val="21"/>
                    </w:rPr>
                  </w:pPr>
                  <w:r>
                    <w:rPr>
                      <w:rFonts w:hint="eastAsia"/>
                      <w:szCs w:val="21"/>
                    </w:rPr>
                    <w:t>63.3</w:t>
                  </w:r>
                </w:p>
              </w:tc>
              <w:tc>
                <w:tcPr>
                  <w:tcW w:w="1233" w:type="dxa"/>
                  <w:vAlign w:val="center"/>
                </w:tcPr>
                <w:p>
                  <w:pPr>
                    <w:jc w:val="center"/>
                    <w:rPr>
                      <w:szCs w:val="21"/>
                    </w:rPr>
                  </w:pPr>
                  <w:r>
                    <w:rPr>
                      <w:rFonts w:hint="eastAsia"/>
                      <w:szCs w:val="21"/>
                    </w:rPr>
                    <w:t>47.3</w:t>
                  </w:r>
                </w:p>
              </w:tc>
              <w:tc>
                <w:tcPr>
                  <w:tcW w:w="2276"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651" w:type="dxa"/>
                  <w:vAlign w:val="center"/>
                </w:tcPr>
                <w:p>
                  <w:pPr>
                    <w:tabs>
                      <w:tab w:val="left" w:pos="7335"/>
                    </w:tabs>
                    <w:jc w:val="center"/>
                    <w:rPr>
                      <w:rFonts w:hAnsi="宋体"/>
                      <w:szCs w:val="21"/>
                    </w:rPr>
                  </w:pPr>
                  <w:r>
                    <w:rPr>
                      <w:rFonts w:hint="eastAsia" w:hAnsi="宋体"/>
                      <w:szCs w:val="21"/>
                    </w:rPr>
                    <w:t>N3：项目北面厂界外1m处</w:t>
                  </w:r>
                </w:p>
              </w:tc>
              <w:tc>
                <w:tcPr>
                  <w:tcW w:w="919" w:type="dxa"/>
                  <w:vAlign w:val="center"/>
                </w:tcPr>
                <w:p>
                  <w:pPr>
                    <w:jc w:val="center"/>
                    <w:rPr>
                      <w:szCs w:val="21"/>
                    </w:rPr>
                  </w:pPr>
                  <w:r>
                    <w:rPr>
                      <w:rFonts w:hint="eastAsia"/>
                      <w:szCs w:val="21"/>
                    </w:rPr>
                    <w:t>50.4</w:t>
                  </w:r>
                </w:p>
              </w:tc>
              <w:tc>
                <w:tcPr>
                  <w:tcW w:w="1150" w:type="dxa"/>
                  <w:vAlign w:val="center"/>
                </w:tcPr>
                <w:p>
                  <w:pPr>
                    <w:jc w:val="center"/>
                    <w:rPr>
                      <w:szCs w:val="21"/>
                    </w:rPr>
                  </w:pPr>
                  <w:r>
                    <w:rPr>
                      <w:rFonts w:hint="eastAsia"/>
                      <w:szCs w:val="21"/>
                    </w:rPr>
                    <w:t>40.2</w:t>
                  </w:r>
                </w:p>
              </w:tc>
              <w:tc>
                <w:tcPr>
                  <w:tcW w:w="1044" w:type="dxa"/>
                  <w:vAlign w:val="center"/>
                </w:tcPr>
                <w:p>
                  <w:pPr>
                    <w:jc w:val="center"/>
                    <w:rPr>
                      <w:szCs w:val="21"/>
                    </w:rPr>
                  </w:pPr>
                  <w:r>
                    <w:rPr>
                      <w:rFonts w:hint="eastAsia"/>
                      <w:szCs w:val="21"/>
                    </w:rPr>
                    <w:t>51.2</w:t>
                  </w:r>
                </w:p>
              </w:tc>
              <w:tc>
                <w:tcPr>
                  <w:tcW w:w="1233" w:type="dxa"/>
                  <w:vAlign w:val="center"/>
                </w:tcPr>
                <w:p>
                  <w:pPr>
                    <w:jc w:val="center"/>
                    <w:rPr>
                      <w:szCs w:val="21"/>
                    </w:rPr>
                  </w:pPr>
                  <w:r>
                    <w:rPr>
                      <w:rFonts w:hint="eastAsia"/>
                      <w:szCs w:val="21"/>
                    </w:rPr>
                    <w:t>41.3</w:t>
                  </w:r>
                </w:p>
              </w:tc>
              <w:tc>
                <w:tcPr>
                  <w:tcW w:w="2276"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651" w:type="dxa"/>
                  <w:vAlign w:val="center"/>
                </w:tcPr>
                <w:p>
                  <w:pPr>
                    <w:tabs>
                      <w:tab w:val="left" w:pos="7335"/>
                    </w:tabs>
                    <w:jc w:val="center"/>
                    <w:rPr>
                      <w:rFonts w:hAnsi="宋体"/>
                      <w:szCs w:val="21"/>
                    </w:rPr>
                  </w:pPr>
                  <w:r>
                    <w:rPr>
                      <w:rFonts w:hint="eastAsia" w:hAnsi="宋体"/>
                      <w:szCs w:val="21"/>
                    </w:rPr>
                    <w:t>N4：项目东面厂界外1m处</w:t>
                  </w:r>
                </w:p>
              </w:tc>
              <w:tc>
                <w:tcPr>
                  <w:tcW w:w="919" w:type="dxa"/>
                  <w:vAlign w:val="center"/>
                </w:tcPr>
                <w:p>
                  <w:pPr>
                    <w:jc w:val="center"/>
                    <w:rPr>
                      <w:szCs w:val="21"/>
                    </w:rPr>
                  </w:pPr>
                  <w:r>
                    <w:rPr>
                      <w:rFonts w:hint="eastAsia"/>
                      <w:szCs w:val="21"/>
                    </w:rPr>
                    <w:t>54.3</w:t>
                  </w:r>
                </w:p>
              </w:tc>
              <w:tc>
                <w:tcPr>
                  <w:tcW w:w="1150" w:type="dxa"/>
                  <w:vAlign w:val="center"/>
                </w:tcPr>
                <w:p>
                  <w:pPr>
                    <w:jc w:val="center"/>
                    <w:rPr>
                      <w:szCs w:val="21"/>
                    </w:rPr>
                  </w:pPr>
                  <w:r>
                    <w:rPr>
                      <w:rFonts w:hint="eastAsia"/>
                      <w:szCs w:val="21"/>
                    </w:rPr>
                    <w:t>44.5</w:t>
                  </w:r>
                </w:p>
              </w:tc>
              <w:tc>
                <w:tcPr>
                  <w:tcW w:w="1044" w:type="dxa"/>
                  <w:vAlign w:val="center"/>
                </w:tcPr>
                <w:p>
                  <w:pPr>
                    <w:jc w:val="center"/>
                    <w:rPr>
                      <w:szCs w:val="21"/>
                    </w:rPr>
                  </w:pPr>
                  <w:r>
                    <w:rPr>
                      <w:rFonts w:hint="eastAsia"/>
                      <w:szCs w:val="21"/>
                    </w:rPr>
                    <w:t>55.1</w:t>
                  </w:r>
                </w:p>
              </w:tc>
              <w:tc>
                <w:tcPr>
                  <w:tcW w:w="1233" w:type="dxa"/>
                  <w:vAlign w:val="center"/>
                </w:tcPr>
                <w:p>
                  <w:pPr>
                    <w:jc w:val="center"/>
                    <w:rPr>
                      <w:szCs w:val="21"/>
                    </w:rPr>
                  </w:pPr>
                  <w:r>
                    <w:rPr>
                      <w:rFonts w:hint="eastAsia"/>
                      <w:szCs w:val="21"/>
                    </w:rPr>
                    <w:t>45.2</w:t>
                  </w:r>
                </w:p>
              </w:tc>
              <w:tc>
                <w:tcPr>
                  <w:tcW w:w="2276" w:type="dxa"/>
                  <w:vAlign w:val="center"/>
                </w:tcPr>
                <w:p>
                  <w:pPr>
                    <w:jc w:val="center"/>
                    <w:rPr>
                      <w:szCs w:val="21"/>
                    </w:rPr>
                  </w:pPr>
                  <w:r>
                    <w:rPr>
                      <w:rFonts w:hint="eastAsia" w:hAnsi="宋体"/>
                      <w:szCs w:val="21"/>
                    </w:rPr>
                    <w:t>昼间：65   夜间：55</w:t>
                  </w:r>
                </w:p>
              </w:tc>
            </w:tr>
          </w:tbl>
          <w:p>
            <w:pPr>
              <w:spacing w:line="360" w:lineRule="auto"/>
              <w:ind w:firstLine="480" w:firstLineChars="200"/>
              <w:rPr>
                <w:sz w:val="24"/>
              </w:rPr>
            </w:pPr>
            <w:r>
              <w:rPr>
                <w:rFonts w:hint="eastAsia"/>
                <w:sz w:val="24"/>
              </w:rPr>
              <w:t>监测数据表明，监测期间舍弗勒（湘潭）项目整体工程南面厂界外1m处、西面厂界外1m处、厂界外1m处环境噪声均可满足</w:t>
            </w:r>
            <w:r>
              <w:rPr>
                <w:sz w:val="24"/>
              </w:rPr>
              <w:t>《声环境质量标准》（GB3096-2008）的</w:t>
            </w:r>
            <w:r>
              <w:rPr>
                <w:rFonts w:hint="eastAsia"/>
                <w:sz w:val="24"/>
              </w:rPr>
              <w:t>4a</w:t>
            </w:r>
            <w:r>
              <w:rPr>
                <w:sz w:val="24"/>
              </w:rPr>
              <w:t>类标准</w:t>
            </w:r>
            <w:r>
              <w:rPr>
                <w:rFonts w:hint="eastAsia"/>
                <w:sz w:val="24"/>
              </w:rPr>
              <w:t>要求，东面厂界外1m处环境噪声可满足</w:t>
            </w:r>
            <w:r>
              <w:rPr>
                <w:sz w:val="24"/>
              </w:rPr>
              <w:t>GB3096-2008的</w:t>
            </w:r>
            <w:r>
              <w:rPr>
                <w:rFonts w:hint="eastAsia"/>
                <w:sz w:val="24"/>
              </w:rPr>
              <w:t>3</w:t>
            </w:r>
            <w:r>
              <w:rPr>
                <w:sz w:val="24"/>
              </w:rPr>
              <w:t>类标准</w:t>
            </w:r>
            <w:r>
              <w:rPr>
                <w:rFonts w:hint="eastAsia"/>
                <w:sz w:val="24"/>
              </w:rPr>
              <w:t>要求。</w:t>
            </w:r>
          </w:p>
          <w:p>
            <w:pPr>
              <w:spacing w:afterLines="50" w:line="460" w:lineRule="exact"/>
              <w:jc w:val="left"/>
              <w:rPr>
                <w:rFonts w:ascii="宋体" w:hAnsi="宋体"/>
                <w:b/>
                <w:bCs/>
                <w:spacing w:val="-8"/>
                <w:sz w:val="28"/>
                <w:szCs w:val="28"/>
              </w:rPr>
            </w:pPr>
            <w:r>
              <w:rPr>
                <w:rFonts w:hint="eastAsia" w:ascii="宋体" w:hAnsi="宋体"/>
                <w:b/>
                <w:bCs/>
                <w:spacing w:val="-8"/>
                <w:sz w:val="28"/>
                <w:szCs w:val="28"/>
              </w:rPr>
              <w:t xml:space="preserve">3.2 </w:t>
            </w:r>
            <w:r>
              <w:rPr>
                <w:rFonts w:ascii="宋体" w:hAnsi="宋体"/>
                <w:b/>
                <w:bCs/>
                <w:spacing w:val="-8"/>
                <w:sz w:val="28"/>
                <w:szCs w:val="28"/>
              </w:rPr>
              <w:t>主要环境保护目标（列出名单及保护级别）：</w:t>
            </w:r>
          </w:p>
          <w:p>
            <w:pPr>
              <w:spacing w:line="360" w:lineRule="auto"/>
              <w:ind w:firstLine="480" w:firstLineChars="200"/>
              <w:rPr>
                <w:sz w:val="24"/>
              </w:rPr>
            </w:pPr>
            <w:r>
              <w:rPr>
                <w:rFonts w:hint="eastAsia"/>
                <w:sz w:val="24"/>
              </w:rPr>
              <w:t>根据现场调查，区域内无自然保护区、水源保护区、珍稀动植物保护物种。本项目主要环境保护目标见下表3-4、图3-3</w:t>
            </w:r>
            <w:r>
              <w:rPr>
                <w:sz w:val="24"/>
              </w:rPr>
              <w:t>：</w:t>
            </w:r>
          </w:p>
          <w:p>
            <w:pPr>
              <w:snapToGrid w:val="0"/>
              <w:spacing w:line="360" w:lineRule="auto"/>
              <w:jc w:val="center"/>
              <w:rPr>
                <w:b/>
                <w:sz w:val="24"/>
              </w:rPr>
            </w:pPr>
            <w:r>
              <w:rPr>
                <w:b/>
                <w:sz w:val="24"/>
              </w:rPr>
              <w:t>表</w:t>
            </w:r>
            <w:r>
              <w:rPr>
                <w:rFonts w:hint="eastAsia"/>
                <w:b/>
                <w:sz w:val="24"/>
              </w:rPr>
              <w:t xml:space="preserve">3-5 </w:t>
            </w:r>
            <w:r>
              <w:rPr>
                <w:b/>
                <w:sz w:val="24"/>
              </w:rPr>
              <w:t xml:space="preserve"> 环境保护目标一览表</w:t>
            </w:r>
          </w:p>
          <w:tbl>
            <w:tblPr>
              <w:tblStyle w:val="29"/>
              <w:tblW w:w="9273"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980"/>
              <w:gridCol w:w="817"/>
              <w:gridCol w:w="1724"/>
              <w:gridCol w:w="1746"/>
              <w:gridCol w:w="17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5" w:type="dxa"/>
                  <w:vAlign w:val="center"/>
                </w:tcPr>
                <w:p>
                  <w:pPr>
                    <w:jc w:val="center"/>
                    <w:rPr>
                      <w:szCs w:val="21"/>
                    </w:rPr>
                  </w:pPr>
                  <w:r>
                    <w:rPr>
                      <w:rFonts w:hAnsi="宋体"/>
                      <w:szCs w:val="21"/>
                    </w:rPr>
                    <w:t>环境要素</w:t>
                  </w:r>
                </w:p>
              </w:tc>
              <w:tc>
                <w:tcPr>
                  <w:tcW w:w="1980" w:type="dxa"/>
                  <w:vAlign w:val="center"/>
                </w:tcPr>
                <w:p>
                  <w:pPr>
                    <w:jc w:val="center"/>
                    <w:rPr>
                      <w:szCs w:val="21"/>
                    </w:rPr>
                  </w:pPr>
                  <w:r>
                    <w:rPr>
                      <w:rFonts w:hAnsi="宋体"/>
                      <w:szCs w:val="21"/>
                    </w:rPr>
                    <w:t>环境敏感点</w:t>
                  </w:r>
                </w:p>
              </w:tc>
              <w:tc>
                <w:tcPr>
                  <w:tcW w:w="817" w:type="dxa"/>
                  <w:vAlign w:val="center"/>
                </w:tcPr>
                <w:p>
                  <w:pPr>
                    <w:jc w:val="center"/>
                    <w:rPr>
                      <w:szCs w:val="21"/>
                    </w:rPr>
                  </w:pPr>
                  <w:r>
                    <w:rPr>
                      <w:rFonts w:hAnsi="宋体"/>
                      <w:szCs w:val="21"/>
                    </w:rPr>
                    <w:t>方位</w:t>
                  </w:r>
                </w:p>
              </w:tc>
              <w:tc>
                <w:tcPr>
                  <w:tcW w:w="1724" w:type="dxa"/>
                  <w:vAlign w:val="center"/>
                </w:tcPr>
                <w:p>
                  <w:pPr>
                    <w:jc w:val="center"/>
                    <w:rPr>
                      <w:szCs w:val="21"/>
                    </w:rPr>
                  </w:pPr>
                  <w:r>
                    <w:rPr>
                      <w:rFonts w:hAnsi="宋体"/>
                      <w:szCs w:val="21"/>
                    </w:rPr>
                    <w:t>距厂界最近距离</w:t>
                  </w:r>
                </w:p>
              </w:tc>
              <w:tc>
                <w:tcPr>
                  <w:tcW w:w="1746" w:type="dxa"/>
                  <w:vAlign w:val="center"/>
                </w:tcPr>
                <w:p>
                  <w:pPr>
                    <w:jc w:val="center"/>
                    <w:rPr>
                      <w:szCs w:val="21"/>
                    </w:rPr>
                  </w:pPr>
                  <w:r>
                    <w:rPr>
                      <w:rFonts w:hAnsi="宋体"/>
                      <w:szCs w:val="21"/>
                    </w:rPr>
                    <w:t>功能规模</w:t>
                  </w:r>
                </w:p>
              </w:tc>
              <w:tc>
                <w:tcPr>
                  <w:tcW w:w="1761" w:type="dxa"/>
                  <w:vAlign w:val="center"/>
                </w:tcPr>
                <w:p>
                  <w:pPr>
                    <w:jc w:val="center"/>
                    <w:rPr>
                      <w:szCs w:val="21"/>
                    </w:rPr>
                  </w:pPr>
                  <w:r>
                    <w:rPr>
                      <w:rFonts w:hint="eastAsia" w:hAnsi="宋体"/>
                      <w:szCs w:val="21"/>
                    </w:rPr>
                    <w:t>保护级别与</w:t>
                  </w:r>
                  <w:r>
                    <w:rPr>
                      <w:rFonts w:hAnsi="宋体"/>
                      <w:szCs w:val="21"/>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5" w:type="dxa"/>
                  <w:vAlign w:val="center"/>
                </w:tcPr>
                <w:p>
                  <w:pPr>
                    <w:jc w:val="center"/>
                    <w:rPr>
                      <w:rFonts w:hAnsi="宋体"/>
                      <w:szCs w:val="21"/>
                    </w:rPr>
                  </w:pPr>
                  <w:r>
                    <w:rPr>
                      <w:rFonts w:hAnsi="宋体"/>
                      <w:szCs w:val="21"/>
                    </w:rPr>
                    <w:t>地表水</w:t>
                  </w:r>
                </w:p>
              </w:tc>
              <w:tc>
                <w:tcPr>
                  <w:tcW w:w="1980" w:type="dxa"/>
                  <w:vAlign w:val="center"/>
                </w:tcPr>
                <w:p>
                  <w:pPr>
                    <w:jc w:val="center"/>
                    <w:rPr>
                      <w:rFonts w:hAnsi="宋体"/>
                      <w:bCs/>
                      <w:spacing w:val="6"/>
                      <w:szCs w:val="21"/>
                    </w:rPr>
                  </w:pPr>
                  <w:r>
                    <w:rPr>
                      <w:rFonts w:hAnsi="宋体"/>
                      <w:bCs/>
                      <w:spacing w:val="6"/>
                      <w:szCs w:val="21"/>
                    </w:rPr>
                    <w:t>湘江（</w:t>
                  </w:r>
                  <w:r>
                    <w:rPr>
                      <w:rFonts w:hint="eastAsia" w:hAnsi="宋体"/>
                      <w:bCs/>
                      <w:spacing w:val="6"/>
                      <w:szCs w:val="21"/>
                    </w:rPr>
                    <w:t>湘纺取水口下游</w:t>
                  </w:r>
                  <w:r>
                    <w:rPr>
                      <w:rFonts w:hAnsi="宋体"/>
                      <w:bCs/>
                      <w:spacing w:val="6"/>
                      <w:szCs w:val="21"/>
                    </w:rPr>
                    <w:t>200</w:t>
                  </w:r>
                  <w:r>
                    <w:rPr>
                      <w:rFonts w:hint="eastAsia" w:hAnsi="宋体"/>
                      <w:bCs/>
                      <w:spacing w:val="6"/>
                      <w:szCs w:val="21"/>
                    </w:rPr>
                    <w:t>米至易家湾</w:t>
                  </w:r>
                  <w:r>
                    <w:rPr>
                      <w:rFonts w:hAnsi="宋体"/>
                      <w:bCs/>
                      <w:spacing w:val="6"/>
                      <w:szCs w:val="21"/>
                    </w:rPr>
                    <w:t>，长度</w:t>
                  </w:r>
                  <w:r>
                    <w:rPr>
                      <w:rFonts w:hint="eastAsia" w:hAnsi="宋体"/>
                      <w:bCs/>
                      <w:spacing w:val="6"/>
                      <w:szCs w:val="21"/>
                    </w:rPr>
                    <w:t>18</w:t>
                  </w:r>
                  <w:r>
                    <w:rPr>
                      <w:rFonts w:hAnsi="宋体"/>
                      <w:bCs/>
                      <w:spacing w:val="6"/>
                      <w:szCs w:val="21"/>
                    </w:rPr>
                    <w:t>.4km）</w:t>
                  </w:r>
                </w:p>
              </w:tc>
              <w:tc>
                <w:tcPr>
                  <w:tcW w:w="817" w:type="dxa"/>
                  <w:vAlign w:val="center"/>
                </w:tcPr>
                <w:p>
                  <w:pPr>
                    <w:jc w:val="center"/>
                    <w:rPr>
                      <w:rFonts w:hAnsi="宋体"/>
                      <w:bCs/>
                      <w:spacing w:val="6"/>
                      <w:szCs w:val="21"/>
                    </w:rPr>
                  </w:pPr>
                  <w:r>
                    <w:rPr>
                      <w:rFonts w:hint="eastAsia" w:hAnsi="宋体"/>
                      <w:bCs/>
                      <w:spacing w:val="6"/>
                      <w:szCs w:val="21"/>
                    </w:rPr>
                    <w:t>东</w:t>
                  </w:r>
                </w:p>
              </w:tc>
              <w:tc>
                <w:tcPr>
                  <w:tcW w:w="1724" w:type="dxa"/>
                  <w:vAlign w:val="center"/>
                </w:tcPr>
                <w:p>
                  <w:pPr>
                    <w:jc w:val="center"/>
                    <w:rPr>
                      <w:rFonts w:hAnsi="宋体"/>
                      <w:bCs/>
                      <w:spacing w:val="6"/>
                      <w:szCs w:val="21"/>
                    </w:rPr>
                  </w:pPr>
                  <w:r>
                    <w:rPr>
                      <w:rFonts w:hint="eastAsia" w:hAnsi="宋体"/>
                      <w:bCs/>
                      <w:spacing w:val="6"/>
                      <w:szCs w:val="21"/>
                    </w:rPr>
                    <w:t>4.1k</w:t>
                  </w:r>
                  <w:r>
                    <w:rPr>
                      <w:rFonts w:hAnsi="宋体"/>
                      <w:bCs/>
                      <w:spacing w:val="6"/>
                      <w:szCs w:val="21"/>
                    </w:rPr>
                    <w:t>m</w:t>
                  </w:r>
                </w:p>
              </w:tc>
              <w:tc>
                <w:tcPr>
                  <w:tcW w:w="1746" w:type="dxa"/>
                  <w:vAlign w:val="center"/>
                </w:tcPr>
                <w:p>
                  <w:pPr>
                    <w:pStyle w:val="8"/>
                    <w:snapToGrid w:val="0"/>
                    <w:spacing w:line="240" w:lineRule="auto"/>
                    <w:rPr>
                      <w:rFonts w:ascii="Times New Roman" w:hAnsi="宋体"/>
                      <w:bCs/>
                      <w:sz w:val="21"/>
                      <w:szCs w:val="21"/>
                    </w:rPr>
                  </w:pPr>
                  <w:r>
                    <w:rPr>
                      <w:rFonts w:ascii="Times New Roman" w:hAnsi="宋体"/>
                      <w:bCs/>
                      <w:sz w:val="21"/>
                      <w:szCs w:val="21"/>
                    </w:rPr>
                    <w:t>大河，</w:t>
                  </w:r>
                  <w:r>
                    <w:rPr>
                      <w:rFonts w:hint="eastAsia" w:ascii="Times New Roman" w:hAnsi="宋体"/>
                      <w:bCs/>
                      <w:sz w:val="21"/>
                      <w:szCs w:val="21"/>
                    </w:rPr>
                    <w:t>景观娱乐用水区</w:t>
                  </w:r>
                </w:p>
              </w:tc>
              <w:tc>
                <w:tcPr>
                  <w:tcW w:w="1761" w:type="dxa"/>
                  <w:vAlign w:val="center"/>
                </w:tcPr>
                <w:p>
                  <w:pPr>
                    <w:autoSpaceDN w:val="0"/>
                    <w:jc w:val="center"/>
                    <w:textAlignment w:val="bottom"/>
                    <w:rPr>
                      <w:rFonts w:hAnsi="宋体"/>
                      <w:szCs w:val="21"/>
                    </w:rPr>
                  </w:pPr>
                  <w:r>
                    <w:rPr>
                      <w:rFonts w:hAnsi="宋体"/>
                      <w:szCs w:val="21"/>
                    </w:rPr>
                    <w:t>GB3838</w:t>
                  </w:r>
                  <w:r>
                    <w:rPr>
                      <w:rFonts w:hint="eastAsia" w:hAnsi="宋体"/>
                      <w:szCs w:val="21"/>
                    </w:rPr>
                    <w:t>-</w:t>
                  </w:r>
                  <w:r>
                    <w:rPr>
                      <w:rFonts w:hAnsi="宋体"/>
                      <w:szCs w:val="21"/>
                    </w:rPr>
                    <w:t>2002</w:t>
                  </w:r>
                </w:p>
                <w:p>
                  <w:pPr>
                    <w:jc w:val="center"/>
                    <w:rPr>
                      <w:rFonts w:hAnsi="宋体"/>
                      <w:szCs w:val="21"/>
                    </w:rPr>
                  </w:pPr>
                  <w:r>
                    <w:rPr>
                      <w:rFonts w:hint="eastAsia" w:hAnsi="宋体"/>
                      <w:szCs w:val="21"/>
                    </w:rPr>
                    <w:t>Ⅲ</w:t>
                  </w:r>
                  <w:r>
                    <w:rPr>
                      <w:rFonts w:hAnsi="宋体"/>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5" w:type="dxa"/>
                  <w:vMerge w:val="restart"/>
                  <w:vAlign w:val="center"/>
                </w:tcPr>
                <w:p>
                  <w:pPr>
                    <w:jc w:val="center"/>
                    <w:rPr>
                      <w:szCs w:val="21"/>
                    </w:rPr>
                  </w:pPr>
                  <w:r>
                    <w:rPr>
                      <w:rFonts w:hAnsi="宋体"/>
                      <w:szCs w:val="21"/>
                    </w:rPr>
                    <w:t>大气</w:t>
                  </w:r>
                </w:p>
                <w:p>
                  <w:pPr>
                    <w:jc w:val="center"/>
                    <w:rPr>
                      <w:szCs w:val="21"/>
                    </w:rPr>
                  </w:pPr>
                  <w:r>
                    <w:rPr>
                      <w:rFonts w:hAnsi="宋体"/>
                      <w:szCs w:val="21"/>
                    </w:rPr>
                    <w:t>环境</w:t>
                  </w:r>
                </w:p>
              </w:tc>
              <w:tc>
                <w:tcPr>
                  <w:tcW w:w="1980" w:type="dxa"/>
                  <w:vAlign w:val="center"/>
                </w:tcPr>
                <w:p>
                  <w:pPr>
                    <w:jc w:val="center"/>
                    <w:rPr>
                      <w:szCs w:val="21"/>
                    </w:rPr>
                  </w:pPr>
                  <w:r>
                    <w:rPr>
                      <w:rFonts w:hint="eastAsia"/>
                      <w:szCs w:val="21"/>
                    </w:rPr>
                    <w:t>九华村居民</w:t>
                  </w:r>
                </w:p>
              </w:tc>
              <w:tc>
                <w:tcPr>
                  <w:tcW w:w="817" w:type="dxa"/>
                  <w:vAlign w:val="center"/>
                </w:tcPr>
                <w:p>
                  <w:pPr>
                    <w:jc w:val="center"/>
                    <w:rPr>
                      <w:szCs w:val="21"/>
                    </w:rPr>
                  </w:pPr>
                  <w:r>
                    <w:rPr>
                      <w:rFonts w:hint="eastAsia"/>
                      <w:szCs w:val="21"/>
                    </w:rPr>
                    <w:t>东</w:t>
                  </w:r>
                </w:p>
              </w:tc>
              <w:tc>
                <w:tcPr>
                  <w:tcW w:w="1724" w:type="dxa"/>
                  <w:vAlign w:val="center"/>
                </w:tcPr>
                <w:p>
                  <w:pPr>
                    <w:jc w:val="center"/>
                    <w:rPr>
                      <w:szCs w:val="21"/>
                    </w:rPr>
                  </w:pPr>
                  <w:r>
                    <w:rPr>
                      <w:rFonts w:hint="eastAsia"/>
                      <w:szCs w:val="21"/>
                    </w:rPr>
                    <w:t>隔长潭西高速相距788m</w:t>
                  </w:r>
                </w:p>
              </w:tc>
              <w:tc>
                <w:tcPr>
                  <w:tcW w:w="1746" w:type="dxa"/>
                  <w:vAlign w:val="center"/>
                </w:tcPr>
                <w:p>
                  <w:pPr>
                    <w:jc w:val="center"/>
                    <w:rPr>
                      <w:szCs w:val="21"/>
                    </w:rPr>
                  </w:pPr>
                  <w:r>
                    <w:rPr>
                      <w:rFonts w:hint="eastAsia"/>
                      <w:szCs w:val="21"/>
                    </w:rPr>
                    <w:t>居住，约50户</w:t>
                  </w:r>
                </w:p>
              </w:tc>
              <w:tc>
                <w:tcPr>
                  <w:tcW w:w="1761" w:type="dxa"/>
                  <w:vMerge w:val="restart"/>
                  <w:vAlign w:val="center"/>
                </w:tcPr>
                <w:p>
                  <w:pPr>
                    <w:jc w:val="center"/>
                    <w:rPr>
                      <w:szCs w:val="21"/>
                    </w:rPr>
                  </w:pPr>
                  <w:r>
                    <w:rPr>
                      <w:szCs w:val="21"/>
                    </w:rPr>
                    <w:t>GB3095-2012</w:t>
                  </w:r>
                </w:p>
                <w:p>
                  <w:pPr>
                    <w:jc w:val="center"/>
                    <w:rPr>
                      <w:szCs w:val="21"/>
                    </w:rPr>
                  </w:pPr>
                  <w:r>
                    <w:rPr>
                      <w:rFonts w:hAnsi="宋体"/>
                      <w:szCs w:val="21"/>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5" w:type="dxa"/>
                  <w:vMerge w:val="continue"/>
                  <w:vAlign w:val="center"/>
                </w:tcPr>
                <w:p>
                  <w:pPr>
                    <w:jc w:val="center"/>
                    <w:rPr>
                      <w:rFonts w:hAnsi="宋体"/>
                      <w:szCs w:val="21"/>
                    </w:rPr>
                  </w:pPr>
                </w:p>
              </w:tc>
              <w:tc>
                <w:tcPr>
                  <w:tcW w:w="1980" w:type="dxa"/>
                  <w:vAlign w:val="center"/>
                </w:tcPr>
                <w:p>
                  <w:pPr>
                    <w:jc w:val="center"/>
                    <w:rPr>
                      <w:szCs w:val="21"/>
                    </w:rPr>
                  </w:pPr>
                  <w:r>
                    <w:rPr>
                      <w:rFonts w:hint="eastAsia"/>
                      <w:szCs w:val="21"/>
                    </w:rPr>
                    <w:t>九怡佳苑小区</w:t>
                  </w:r>
                </w:p>
              </w:tc>
              <w:tc>
                <w:tcPr>
                  <w:tcW w:w="817" w:type="dxa"/>
                  <w:vAlign w:val="center"/>
                </w:tcPr>
                <w:p>
                  <w:pPr>
                    <w:jc w:val="center"/>
                    <w:rPr>
                      <w:szCs w:val="21"/>
                    </w:rPr>
                  </w:pPr>
                  <w:r>
                    <w:rPr>
                      <w:rFonts w:hint="eastAsia"/>
                      <w:szCs w:val="21"/>
                    </w:rPr>
                    <w:t>东南</w:t>
                  </w:r>
                </w:p>
              </w:tc>
              <w:tc>
                <w:tcPr>
                  <w:tcW w:w="1724" w:type="dxa"/>
                  <w:vAlign w:val="center"/>
                </w:tcPr>
                <w:p>
                  <w:pPr>
                    <w:jc w:val="center"/>
                    <w:rPr>
                      <w:szCs w:val="21"/>
                    </w:rPr>
                  </w:pPr>
                  <w:r>
                    <w:rPr>
                      <w:rFonts w:hint="eastAsia"/>
                      <w:szCs w:val="21"/>
                    </w:rPr>
                    <w:t>隔长潭西高速相距964m</w:t>
                  </w:r>
                </w:p>
              </w:tc>
              <w:tc>
                <w:tcPr>
                  <w:tcW w:w="1746" w:type="dxa"/>
                  <w:vAlign w:val="center"/>
                </w:tcPr>
                <w:p>
                  <w:pPr>
                    <w:jc w:val="center"/>
                    <w:rPr>
                      <w:szCs w:val="21"/>
                    </w:rPr>
                  </w:pPr>
                  <w:r>
                    <w:rPr>
                      <w:rFonts w:hint="eastAsia"/>
                      <w:szCs w:val="21"/>
                    </w:rPr>
                    <w:t>居住，约1000人</w:t>
                  </w:r>
                </w:p>
              </w:tc>
              <w:tc>
                <w:tcPr>
                  <w:tcW w:w="1761"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5" w:type="dxa"/>
                  <w:vMerge w:val="continue"/>
                  <w:vAlign w:val="center"/>
                </w:tcPr>
                <w:p>
                  <w:pPr>
                    <w:jc w:val="center"/>
                    <w:rPr>
                      <w:rFonts w:hAnsi="宋体"/>
                      <w:szCs w:val="21"/>
                    </w:rPr>
                  </w:pPr>
                </w:p>
              </w:tc>
              <w:tc>
                <w:tcPr>
                  <w:tcW w:w="1980" w:type="dxa"/>
                  <w:vAlign w:val="center"/>
                </w:tcPr>
                <w:p>
                  <w:pPr>
                    <w:jc w:val="center"/>
                    <w:rPr>
                      <w:szCs w:val="21"/>
                    </w:rPr>
                  </w:pPr>
                  <w:r>
                    <w:rPr>
                      <w:rFonts w:hint="eastAsia"/>
                      <w:szCs w:val="21"/>
                    </w:rPr>
                    <w:t>响水乡政府</w:t>
                  </w:r>
                </w:p>
              </w:tc>
              <w:tc>
                <w:tcPr>
                  <w:tcW w:w="817" w:type="dxa"/>
                  <w:vAlign w:val="center"/>
                </w:tcPr>
                <w:p>
                  <w:pPr>
                    <w:jc w:val="center"/>
                    <w:rPr>
                      <w:szCs w:val="21"/>
                    </w:rPr>
                  </w:pPr>
                  <w:r>
                    <w:rPr>
                      <w:rFonts w:hint="eastAsia"/>
                      <w:szCs w:val="21"/>
                    </w:rPr>
                    <w:t>南</w:t>
                  </w:r>
                </w:p>
              </w:tc>
              <w:tc>
                <w:tcPr>
                  <w:tcW w:w="1724" w:type="dxa"/>
                  <w:vAlign w:val="center"/>
                </w:tcPr>
                <w:p>
                  <w:pPr>
                    <w:jc w:val="center"/>
                    <w:rPr>
                      <w:szCs w:val="21"/>
                    </w:rPr>
                  </w:pPr>
                  <w:r>
                    <w:rPr>
                      <w:rFonts w:hint="eastAsia"/>
                      <w:szCs w:val="21"/>
                    </w:rPr>
                    <w:t>隔白石西路相距218m</w:t>
                  </w:r>
                </w:p>
              </w:tc>
              <w:tc>
                <w:tcPr>
                  <w:tcW w:w="1746" w:type="dxa"/>
                  <w:vAlign w:val="center"/>
                </w:tcPr>
                <w:p>
                  <w:pPr>
                    <w:jc w:val="center"/>
                    <w:rPr>
                      <w:szCs w:val="21"/>
                    </w:rPr>
                  </w:pPr>
                  <w:r>
                    <w:rPr>
                      <w:rFonts w:hint="eastAsia"/>
                      <w:szCs w:val="21"/>
                    </w:rPr>
                    <w:t>行政办公</w:t>
                  </w:r>
                </w:p>
              </w:tc>
              <w:tc>
                <w:tcPr>
                  <w:tcW w:w="1761"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5" w:type="dxa"/>
                  <w:vMerge w:val="continue"/>
                  <w:vAlign w:val="center"/>
                </w:tcPr>
                <w:p>
                  <w:pPr>
                    <w:jc w:val="center"/>
                    <w:rPr>
                      <w:rFonts w:hAnsi="宋体"/>
                      <w:szCs w:val="21"/>
                    </w:rPr>
                  </w:pPr>
                </w:p>
              </w:tc>
              <w:tc>
                <w:tcPr>
                  <w:tcW w:w="1980" w:type="dxa"/>
                  <w:vAlign w:val="center"/>
                </w:tcPr>
                <w:p>
                  <w:pPr>
                    <w:jc w:val="center"/>
                    <w:rPr>
                      <w:szCs w:val="21"/>
                    </w:rPr>
                  </w:pPr>
                  <w:r>
                    <w:rPr>
                      <w:rFonts w:hint="eastAsia"/>
                      <w:szCs w:val="21"/>
                    </w:rPr>
                    <w:t>杉山学校</w:t>
                  </w:r>
                </w:p>
              </w:tc>
              <w:tc>
                <w:tcPr>
                  <w:tcW w:w="817" w:type="dxa"/>
                  <w:vAlign w:val="center"/>
                </w:tcPr>
                <w:p>
                  <w:pPr>
                    <w:jc w:val="center"/>
                    <w:rPr>
                      <w:szCs w:val="21"/>
                    </w:rPr>
                  </w:pPr>
                  <w:r>
                    <w:rPr>
                      <w:rFonts w:hint="eastAsia"/>
                      <w:szCs w:val="21"/>
                    </w:rPr>
                    <w:t>南</w:t>
                  </w:r>
                </w:p>
              </w:tc>
              <w:tc>
                <w:tcPr>
                  <w:tcW w:w="1724" w:type="dxa"/>
                  <w:vAlign w:val="center"/>
                </w:tcPr>
                <w:p>
                  <w:pPr>
                    <w:jc w:val="center"/>
                    <w:rPr>
                      <w:szCs w:val="21"/>
                    </w:rPr>
                  </w:pPr>
                  <w:r>
                    <w:rPr>
                      <w:rFonts w:hint="eastAsia"/>
                      <w:szCs w:val="21"/>
                    </w:rPr>
                    <w:t>隔白石西路相距322m</w:t>
                  </w:r>
                </w:p>
              </w:tc>
              <w:tc>
                <w:tcPr>
                  <w:tcW w:w="1746" w:type="dxa"/>
                  <w:vAlign w:val="center"/>
                </w:tcPr>
                <w:p>
                  <w:pPr>
                    <w:jc w:val="center"/>
                    <w:rPr>
                      <w:szCs w:val="21"/>
                    </w:rPr>
                  </w:pPr>
                  <w:r>
                    <w:rPr>
                      <w:rFonts w:hint="eastAsia"/>
                      <w:szCs w:val="21"/>
                    </w:rPr>
                    <w:t>学校，师生约400人</w:t>
                  </w:r>
                </w:p>
              </w:tc>
              <w:tc>
                <w:tcPr>
                  <w:tcW w:w="1761"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5" w:type="dxa"/>
                  <w:vMerge w:val="continue"/>
                  <w:vAlign w:val="center"/>
                </w:tcPr>
                <w:p>
                  <w:pPr>
                    <w:jc w:val="center"/>
                    <w:rPr>
                      <w:rFonts w:hAnsi="宋体"/>
                      <w:szCs w:val="21"/>
                    </w:rPr>
                  </w:pPr>
                </w:p>
              </w:tc>
              <w:tc>
                <w:tcPr>
                  <w:tcW w:w="1980" w:type="dxa"/>
                  <w:vAlign w:val="center"/>
                </w:tcPr>
                <w:p>
                  <w:pPr>
                    <w:jc w:val="center"/>
                    <w:rPr>
                      <w:szCs w:val="21"/>
                    </w:rPr>
                  </w:pPr>
                  <w:r>
                    <w:rPr>
                      <w:rFonts w:hint="eastAsia"/>
                      <w:szCs w:val="21"/>
                    </w:rPr>
                    <w:t>杉山社区</w:t>
                  </w:r>
                </w:p>
              </w:tc>
              <w:tc>
                <w:tcPr>
                  <w:tcW w:w="817" w:type="dxa"/>
                  <w:vAlign w:val="center"/>
                </w:tcPr>
                <w:p>
                  <w:pPr>
                    <w:jc w:val="center"/>
                    <w:rPr>
                      <w:szCs w:val="21"/>
                    </w:rPr>
                  </w:pPr>
                  <w:r>
                    <w:rPr>
                      <w:rFonts w:hint="eastAsia"/>
                      <w:szCs w:val="21"/>
                    </w:rPr>
                    <w:t>南</w:t>
                  </w:r>
                </w:p>
              </w:tc>
              <w:tc>
                <w:tcPr>
                  <w:tcW w:w="1724" w:type="dxa"/>
                  <w:vAlign w:val="center"/>
                </w:tcPr>
                <w:p>
                  <w:pPr>
                    <w:jc w:val="center"/>
                    <w:rPr>
                      <w:szCs w:val="21"/>
                    </w:rPr>
                  </w:pPr>
                  <w:r>
                    <w:rPr>
                      <w:rFonts w:hint="eastAsia"/>
                      <w:szCs w:val="21"/>
                    </w:rPr>
                    <w:t>隔白石西路相距289m</w:t>
                  </w:r>
                </w:p>
              </w:tc>
              <w:tc>
                <w:tcPr>
                  <w:tcW w:w="1746" w:type="dxa"/>
                  <w:vAlign w:val="center"/>
                </w:tcPr>
                <w:p>
                  <w:pPr>
                    <w:jc w:val="center"/>
                    <w:rPr>
                      <w:szCs w:val="21"/>
                    </w:rPr>
                  </w:pPr>
                  <w:r>
                    <w:rPr>
                      <w:rFonts w:hint="eastAsia"/>
                      <w:szCs w:val="21"/>
                    </w:rPr>
                    <w:t>住宅，约800户</w:t>
                  </w:r>
                </w:p>
              </w:tc>
              <w:tc>
                <w:tcPr>
                  <w:tcW w:w="1761" w:type="dxa"/>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5" w:type="dxa"/>
                  <w:vAlign w:val="center"/>
                </w:tcPr>
                <w:p>
                  <w:pPr>
                    <w:jc w:val="center"/>
                    <w:rPr>
                      <w:szCs w:val="21"/>
                    </w:rPr>
                  </w:pPr>
                  <w:r>
                    <w:rPr>
                      <w:rFonts w:hAnsi="宋体"/>
                      <w:szCs w:val="21"/>
                    </w:rPr>
                    <w:t>声环境</w:t>
                  </w:r>
                </w:p>
              </w:tc>
              <w:tc>
                <w:tcPr>
                  <w:tcW w:w="6267" w:type="dxa"/>
                  <w:gridSpan w:val="4"/>
                  <w:vAlign w:val="center"/>
                </w:tcPr>
                <w:p>
                  <w:pPr>
                    <w:jc w:val="center"/>
                    <w:rPr>
                      <w:szCs w:val="21"/>
                    </w:rPr>
                  </w:pPr>
                  <w:r>
                    <w:rPr>
                      <w:rFonts w:hint="eastAsia"/>
                      <w:szCs w:val="21"/>
                    </w:rPr>
                    <w:t>项目厂界外延200m范围</w:t>
                  </w:r>
                </w:p>
              </w:tc>
              <w:tc>
                <w:tcPr>
                  <w:tcW w:w="1761" w:type="dxa"/>
                  <w:vAlign w:val="center"/>
                </w:tcPr>
                <w:p>
                  <w:pPr>
                    <w:jc w:val="center"/>
                    <w:rPr>
                      <w:szCs w:val="21"/>
                    </w:rPr>
                  </w:pPr>
                  <w:r>
                    <w:rPr>
                      <w:szCs w:val="21"/>
                    </w:rPr>
                    <w:t>GB3096-2008</w:t>
                  </w:r>
                </w:p>
                <w:p>
                  <w:pPr>
                    <w:jc w:val="center"/>
                    <w:rPr>
                      <w:szCs w:val="21"/>
                    </w:rPr>
                  </w:pPr>
                  <w:r>
                    <w:rPr>
                      <w:rFonts w:hint="eastAsia"/>
                      <w:szCs w:val="21"/>
                    </w:rPr>
                    <w:t>3</w:t>
                  </w:r>
                  <w:r>
                    <w:rPr>
                      <w:rFonts w:hAnsi="宋体"/>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45" w:type="dxa"/>
                  <w:vAlign w:val="center"/>
                </w:tcPr>
                <w:p>
                  <w:pPr>
                    <w:jc w:val="center"/>
                    <w:rPr>
                      <w:rFonts w:hAnsi="宋体"/>
                      <w:szCs w:val="21"/>
                    </w:rPr>
                  </w:pPr>
                  <w:r>
                    <w:rPr>
                      <w:rFonts w:hAnsi="宋体"/>
                      <w:szCs w:val="21"/>
                    </w:rPr>
                    <w:t>社会环境</w:t>
                  </w:r>
                </w:p>
              </w:tc>
              <w:tc>
                <w:tcPr>
                  <w:tcW w:w="6267" w:type="dxa"/>
                  <w:gridSpan w:val="4"/>
                  <w:vAlign w:val="center"/>
                </w:tcPr>
                <w:p>
                  <w:pPr>
                    <w:jc w:val="center"/>
                    <w:rPr>
                      <w:szCs w:val="21"/>
                    </w:rPr>
                  </w:pPr>
                  <w:r>
                    <w:rPr>
                      <w:rFonts w:hint="eastAsia"/>
                      <w:szCs w:val="21"/>
                    </w:rPr>
                    <w:t>九华污水处理厂</w:t>
                  </w:r>
                </w:p>
              </w:tc>
              <w:tc>
                <w:tcPr>
                  <w:tcW w:w="1761" w:type="dxa"/>
                  <w:vAlign w:val="center"/>
                </w:tcPr>
                <w:p>
                  <w:pPr>
                    <w:jc w:val="center"/>
                    <w:rPr>
                      <w:szCs w:val="21"/>
                    </w:rPr>
                  </w:pPr>
                  <w:r>
                    <w:rPr>
                      <w:szCs w:val="21"/>
                    </w:rPr>
                    <w:t>满足其进水水质要求</w:t>
                  </w:r>
                </w:p>
              </w:tc>
            </w:tr>
          </w:tbl>
          <w:p>
            <w:pPr>
              <w:adjustRightInd w:val="0"/>
              <w:snapToGrid w:val="0"/>
              <w:spacing w:line="360" w:lineRule="auto"/>
              <w:jc w:val="center"/>
              <w:rPr>
                <w:sz w:val="24"/>
              </w:rPr>
            </w:pPr>
          </w:p>
          <w:p>
            <w:pPr>
              <w:adjustRightInd w:val="0"/>
              <w:snapToGrid w:val="0"/>
              <w:spacing w:line="360" w:lineRule="auto"/>
              <w:jc w:val="center"/>
              <w:rPr>
                <w:sz w:val="24"/>
              </w:rPr>
            </w:pPr>
          </w:p>
          <w:p>
            <w:pPr>
              <w:adjustRightInd w:val="0"/>
              <w:snapToGrid w:val="0"/>
              <w:spacing w:line="360" w:lineRule="auto"/>
              <w:jc w:val="center"/>
              <w:rPr>
                <w:sz w:val="24"/>
              </w:rPr>
            </w:pPr>
          </w:p>
          <w:p>
            <w:pPr>
              <w:adjustRightInd w:val="0"/>
              <w:snapToGrid w:val="0"/>
              <w:spacing w:line="360" w:lineRule="auto"/>
              <w:jc w:val="center"/>
              <w:rPr>
                <w:sz w:val="24"/>
              </w:rPr>
            </w:pPr>
            <w:r>
              <w:rPr>
                <w:rFonts w:ascii="宋体" w:hAnsi="宋体"/>
                <w:b/>
                <w:bCs/>
                <w:color w:val="00B050"/>
                <w:spacing w:val="-8"/>
                <w:sz w:val="28"/>
                <w:szCs w:val="28"/>
              </w:rPr>
              <w:pict>
                <v:shape id="_x0000_s3739" o:spid="_x0000_s3739" style="position:absolute;left:0pt;margin-left:129.9pt;margin-top:99.45pt;height:95.85pt;width:88.7pt;z-index:251696128;mso-width-relative:page;mso-height-relative:page;" fillcolor="#FF00FF" filled="t" stroked="t" coordsize="1774,1917" path="m60,476l576,204,1185,1917,1774,1780,1133,0,0,276,60,476xe">
                  <v:path arrowok="t"/>
                  <v:fill on="t" opacity="19661f" focussize="0,0"/>
                  <v:stroke color="#FF00FF"/>
                  <v:imagedata o:title=""/>
                  <o:lock v:ext="edit"/>
                </v:shape>
              </w:pict>
            </w:r>
            <w:r>
              <w:rPr>
                <w:rFonts w:ascii="宋体" w:hAnsi="宋体"/>
                <w:b/>
                <w:bCs/>
                <w:color w:val="00B050"/>
                <w:spacing w:val="-8"/>
                <w:sz w:val="28"/>
                <w:szCs w:val="28"/>
              </w:rPr>
              <w:pict>
                <v:shape id="_x0000_s3740" o:spid="_x0000_s3740" o:spt="62" type="#_x0000_t62" style="position:absolute;left:0pt;margin-left:1.15pt;margin-top:141.55pt;height:54pt;width:128.75pt;z-index:251698176;mso-width-relative:page;mso-height-relative:page;" coordsize="21600,21600" adj="24905,7300">
                  <v:path/>
                  <v:fill focussize="0,0"/>
                  <v:stroke joinstyle="miter"/>
                  <v:imagedata o:title=""/>
                  <o:lock v:ext="edit"/>
                  <v:textbox>
                    <w:txbxContent>
                      <w:p>
                        <w:pPr>
                          <w:rPr>
                            <w:b/>
                          </w:rPr>
                        </w:pPr>
                        <w:r>
                          <w:rPr>
                            <w:rFonts w:hint="eastAsia"/>
                            <w:b/>
                          </w:rPr>
                          <w:t>舍弗勒（湘潭）公司项目整体工程用地红线示意</w:t>
                        </w:r>
                      </w:p>
                    </w:txbxContent>
                  </v:textbox>
                </v:shape>
              </w:pict>
            </w:r>
            <w:r>
              <w:rPr>
                <w:rFonts w:ascii="宋体" w:hAnsi="宋体"/>
                <w:b/>
                <w:bCs/>
                <w:spacing w:val="-8"/>
                <w:sz w:val="28"/>
                <w:szCs w:val="28"/>
              </w:rPr>
              <w:pict>
                <v:rect id="_x0000_s3404" o:spid="_x0000_s3404" o:spt="1" style="position:absolute;left:0pt;margin-left:147.05pt;margin-top:113.7pt;height:46.2pt;width:70.1pt;z-index:251697152;mso-width-relative:page;mso-height-relative:page;" filled="f" stroked="f" coordsize="21600,21600">
                  <v:path/>
                  <v:fill on="f" focussize="0,0"/>
                  <v:stroke on="f"/>
                  <v:imagedata o:title=""/>
                  <o:lock v:ext="edit"/>
                  <v:textbox>
                    <w:txbxContent>
                      <w:p>
                        <w:pPr>
                          <w:jc w:val="center"/>
                          <w:rPr>
                            <w:b/>
                            <w:color w:val="FF0000"/>
                          </w:rPr>
                        </w:pPr>
                        <w:r>
                          <w:rPr>
                            <w:rFonts w:hint="eastAsia"/>
                            <w:b/>
                            <w:color w:val="FF0000"/>
                          </w:rPr>
                          <w:t>一期工</w:t>
                        </w:r>
                      </w:p>
                      <w:p>
                        <w:pPr>
                          <w:jc w:val="center"/>
                          <w:rPr>
                            <w:b/>
                            <w:color w:val="FF0000"/>
                          </w:rPr>
                        </w:pPr>
                        <w:r>
                          <w:rPr>
                            <w:rFonts w:hint="eastAsia"/>
                            <w:b/>
                            <w:color w:val="FF0000"/>
                          </w:rPr>
                          <w:t>程范围</w:t>
                        </w:r>
                      </w:p>
                    </w:txbxContent>
                  </v:textbox>
                </v:rect>
              </w:pict>
            </w:r>
            <w:r>
              <w:rPr>
                <w:rFonts w:ascii="宋体" w:hAnsi="宋体"/>
                <w:b/>
                <w:bCs/>
                <w:spacing w:val="-8"/>
                <w:sz w:val="28"/>
                <w:szCs w:val="28"/>
              </w:rPr>
              <w:pict>
                <v:rect id="_x0000_s3179" o:spid="_x0000_s3179" o:spt="1" style="position:absolute;left:0pt;margin-left:331.75pt;margin-top:172.15pt;height:23.4pt;width:80.35pt;z-index:251611136;mso-width-relative:page;mso-height-relative:page;" filled="f" stroked="f" coordsize="21600,21600">
                  <v:path/>
                  <v:fill on="f" focussize="0,0"/>
                  <v:stroke on="f"/>
                  <v:imagedata o:title=""/>
                  <o:lock v:ext="edit"/>
                  <v:textbox>
                    <w:txbxContent>
                      <w:p>
                        <w:pPr>
                          <w:jc w:val="center"/>
                          <w:rPr>
                            <w:b/>
                          </w:rPr>
                        </w:pPr>
                        <w:r>
                          <w:rPr>
                            <w:rFonts w:hint="eastAsia"/>
                            <w:b/>
                          </w:rPr>
                          <w:t>九怡佳苑</w:t>
                        </w:r>
                      </w:p>
                    </w:txbxContent>
                  </v:textbox>
                </v:rect>
              </w:pict>
            </w:r>
            <w:r>
              <w:rPr>
                <w:rFonts w:ascii="宋体" w:hAnsi="宋体"/>
                <w:b/>
                <w:bCs/>
                <w:color w:val="00B050"/>
                <w:spacing w:val="-8"/>
                <w:sz w:val="28"/>
                <w:szCs w:val="28"/>
              </w:rPr>
              <w:pict>
                <v:shape id="_x0000_s3662" o:spid="_x0000_s3662" o:spt="62" type="#_x0000_t62" style="position:absolute;left:0pt;margin-left:299.55pt;margin-top:217.65pt;height:26.5pt;width:75.4pt;z-index:251661312;mso-width-relative:page;mso-height-relative:page;" coordsize="21600,21600" adj="-13436,-16302">
                  <v:path/>
                  <v:fill focussize="0,0"/>
                  <v:stroke joinstyle="miter"/>
                  <v:imagedata o:title=""/>
                  <o:lock v:ext="edit"/>
                  <v:textbox>
                    <w:txbxContent>
                      <w:p>
                        <w:pPr>
                          <w:rPr>
                            <w:b/>
                          </w:rPr>
                        </w:pPr>
                        <w:r>
                          <w:rPr>
                            <w:rFonts w:hint="eastAsia"/>
                            <w:b/>
                          </w:rPr>
                          <w:t>响水乡政府</w:t>
                        </w:r>
                      </w:p>
                    </w:txbxContent>
                  </v:textbox>
                </v:shape>
              </w:pict>
            </w:r>
            <w:r>
              <w:rPr>
                <w:rFonts w:ascii="宋体" w:hAnsi="宋体"/>
                <w:b/>
                <w:bCs/>
                <w:color w:val="00B050"/>
                <w:spacing w:val="-8"/>
                <w:sz w:val="28"/>
                <w:szCs w:val="28"/>
              </w:rPr>
              <w:pict>
                <v:shape id="_x0000_s3661" o:spid="_x0000_s3661" o:spt="62" type="#_x0000_t62" style="position:absolute;left:0pt;margin-left:86.7pt;margin-top:223.75pt;height:26.5pt;width:75.4pt;z-index:251660288;mso-width-relative:page;mso-height-relative:page;" coordsize="21600,21600" adj="46494,-1915">
                  <v:path/>
                  <v:fill focussize="0,0"/>
                  <v:stroke joinstyle="miter"/>
                  <v:imagedata o:title=""/>
                  <o:lock v:ext="edit"/>
                  <v:textbox>
                    <w:txbxContent>
                      <w:p>
                        <w:pPr>
                          <w:rPr>
                            <w:b/>
                          </w:rPr>
                        </w:pPr>
                        <w:r>
                          <w:rPr>
                            <w:rFonts w:hint="eastAsia"/>
                            <w:b/>
                          </w:rPr>
                          <w:t>杉山学校</w:t>
                        </w:r>
                      </w:p>
                    </w:txbxContent>
                  </v:textbox>
                </v:shape>
              </w:pict>
            </w:r>
            <w:r>
              <w:rPr>
                <w:rFonts w:ascii="宋体" w:hAnsi="宋体"/>
                <w:b/>
                <w:bCs/>
                <w:color w:val="00B050"/>
                <w:spacing w:val="-8"/>
                <w:sz w:val="28"/>
                <w:szCs w:val="28"/>
              </w:rPr>
              <w:pict>
                <v:rect id="_x0000_s3660" o:spid="_x0000_s3660" o:spt="1" style="position:absolute;left:0pt;margin-left:21.05pt;margin-top:332.45pt;height:23.4pt;width:49.15pt;z-index:251659264;mso-width-relative:page;mso-height-relative:page;" filled="f" stroked="f" coordsize="21600,21600">
                  <v:path/>
                  <v:fill on="f" focussize="0,0"/>
                  <v:stroke on="f"/>
                  <v:imagedata o:title=""/>
                  <o:lock v:ext="edit"/>
                  <v:textbox>
                    <w:txbxContent>
                      <w:p>
                        <w:pPr>
                          <w:jc w:val="center"/>
                          <w:rPr>
                            <w:b/>
                          </w:rPr>
                        </w:pPr>
                        <w:r>
                          <w:rPr>
                            <w:rFonts w:hint="eastAsia"/>
                            <w:b/>
                          </w:rPr>
                          <w:t>300m</w:t>
                        </w:r>
                      </w:p>
                    </w:txbxContent>
                  </v:textbox>
                </v:rect>
              </w:pict>
            </w:r>
            <w:r>
              <w:rPr>
                <w:rFonts w:ascii="宋体" w:hAnsi="宋体"/>
                <w:b/>
                <w:bCs/>
                <w:spacing w:val="-8"/>
                <w:sz w:val="28"/>
                <w:szCs w:val="28"/>
              </w:rPr>
              <w:pict>
                <v:rect id="_x0000_s3403" o:spid="_x0000_s3403" o:spt="1" style="position:absolute;left:0pt;margin-left:200.8pt;margin-top:256.35pt;height:23.4pt;width:98.75pt;z-index:251621376;mso-width-relative:page;mso-height-relative:page;" filled="f" stroked="f" coordsize="21600,21600">
                  <v:path/>
                  <v:fill on="f" focussize="0,0"/>
                  <v:stroke on="f"/>
                  <v:imagedata o:title=""/>
                  <o:lock v:ext="edit"/>
                  <v:textbox>
                    <w:txbxContent>
                      <w:p>
                        <w:pPr>
                          <w:jc w:val="center"/>
                          <w:rPr>
                            <w:b/>
                          </w:rPr>
                        </w:pPr>
                        <w:r>
                          <w:rPr>
                            <w:rFonts w:hint="eastAsia"/>
                            <w:b/>
                          </w:rPr>
                          <w:t>杉山社区</w:t>
                        </w:r>
                      </w:p>
                    </w:txbxContent>
                  </v:textbox>
                </v:rect>
              </w:pict>
            </w:r>
            <w:r>
              <w:rPr>
                <w:rFonts w:ascii="宋体" w:hAnsi="宋体"/>
                <w:b/>
                <w:bCs/>
                <w:color w:val="00B050"/>
                <w:spacing w:val="-8"/>
                <w:sz w:val="28"/>
                <w:szCs w:val="28"/>
              </w:rPr>
              <w:pict>
                <v:rect id="_x0000_s3659" o:spid="_x0000_s3659" o:spt="1" style="position:absolute;left:0pt;margin-left:291.65pt;margin-top:27.6pt;height:23.4pt;width:87.15pt;z-index:251658240;mso-width-relative:page;mso-height-relative:page;" filled="f" stroked="f" coordsize="21600,21600">
                  <v:path/>
                  <v:fill on="f" focussize="0,0"/>
                  <v:stroke on="f"/>
                  <v:imagedata o:title=""/>
                  <o:lock v:ext="edit"/>
                  <v:textbox>
                    <w:txbxContent>
                      <w:p>
                        <w:pPr>
                          <w:jc w:val="center"/>
                          <w:rPr>
                            <w:b/>
                          </w:rPr>
                        </w:pPr>
                        <w:r>
                          <w:rPr>
                            <w:rFonts w:hint="eastAsia"/>
                            <w:b/>
                          </w:rPr>
                          <w:t>九华村居民</w:t>
                        </w:r>
                      </w:p>
                    </w:txbxContent>
                  </v:textbox>
                </v:rect>
              </w:pict>
            </w:r>
            <w:r>
              <w:rPr>
                <w:rFonts w:hint="eastAsia" w:ascii="宋体" w:hAnsi="宋体"/>
                <w:b/>
                <w:bCs/>
                <w:color w:val="00B050"/>
                <w:spacing w:val="-8"/>
                <w:sz w:val="28"/>
                <w:szCs w:val="28"/>
              </w:rPr>
              <w:drawing>
                <wp:anchor distT="0" distB="0" distL="114300" distR="114300" simplePos="0" relativeHeight="251657216" behindDoc="0" locked="0" layoutInCell="1" allowOverlap="1">
                  <wp:simplePos x="0" y="0"/>
                  <wp:positionH relativeFrom="column">
                    <wp:posOffset>14605</wp:posOffset>
                  </wp:positionH>
                  <wp:positionV relativeFrom="paragraph">
                    <wp:posOffset>11430</wp:posOffset>
                  </wp:positionV>
                  <wp:extent cx="553720" cy="636270"/>
                  <wp:effectExtent l="19050" t="0" r="0" b="0"/>
                  <wp:wrapNone/>
                  <wp:docPr id="16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 name="图片 4"/>
                          <pic:cNvPicPr>
                            <a:picLocks noChangeAspect="1" noChangeArrowheads="1"/>
                          </pic:cNvPicPr>
                        </pic:nvPicPr>
                        <pic:blipFill>
                          <a:blip r:embed="rId26"/>
                          <a:srcRect/>
                          <a:stretch>
                            <a:fillRect/>
                          </a:stretch>
                        </pic:blipFill>
                        <pic:spPr>
                          <a:xfrm>
                            <a:off x="0" y="0"/>
                            <a:ext cx="553720" cy="636270"/>
                          </a:xfrm>
                          <a:prstGeom prst="rect">
                            <a:avLst/>
                          </a:prstGeom>
                          <a:noFill/>
                          <a:ln w="9525">
                            <a:noFill/>
                            <a:miter lim="800000"/>
                            <a:headEnd/>
                            <a:tailEnd/>
                          </a:ln>
                        </pic:spPr>
                      </pic:pic>
                    </a:graphicData>
                  </a:graphic>
                </wp:anchor>
              </w:drawing>
            </w:r>
            <w:r>
              <w:rPr>
                <w:rFonts w:ascii="宋体" w:hAnsi="宋体"/>
                <w:b/>
                <w:bCs/>
                <w:spacing w:val="-8"/>
                <w:sz w:val="28"/>
                <w:szCs w:val="28"/>
              </w:rPr>
              <w:pict>
                <v:shape id="_x0000_s3174" o:spid="_x0000_s3174" o:spt="202" type="#_x0000_t202" style="position:absolute;left:0pt;margin-left:30.2pt;margin-top:286.25pt;height:22.8pt;width:40pt;z-index:251610112;mso-width-relative:margin;mso-height-relative:margin;mso-height-percent:200;" filled="f" stroked="f" coordsize="21600,21600">
                  <v:path/>
                  <v:fill on="f" focussize="0,0"/>
                  <v:stroke on="f" joinstyle="miter"/>
                  <v:imagedata o:title=""/>
                  <o:lock v:ext="edit"/>
                  <v:textbox style="mso-fit-shape-to-text:t;">
                    <w:txbxContent>
                      <w:p>
                        <w:pPr>
                          <w:rPr>
                            <w:b/>
                            <w:color w:val="FFFFFF"/>
                          </w:rPr>
                        </w:pPr>
                        <w:r>
                          <w:rPr>
                            <w:rFonts w:hint="eastAsia"/>
                            <w:b/>
                            <w:color w:val="FFFFFF"/>
                          </w:rPr>
                          <w:t>150m</w:t>
                        </w:r>
                      </w:p>
                    </w:txbxContent>
                  </v:textbox>
                </v:shape>
              </w:pict>
            </w:r>
            <w:r>
              <w:rPr>
                <w:rFonts w:hint="eastAsia"/>
                <w:sz w:val="24"/>
              </w:rPr>
              <w:drawing>
                <wp:inline distT="0" distB="0" distL="0" distR="0">
                  <wp:extent cx="5972175" cy="4562475"/>
                  <wp:effectExtent l="19050" t="19050" r="28575" b="285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8"/>
                          <a:srcRect/>
                          <a:stretch>
                            <a:fillRect/>
                          </a:stretch>
                        </pic:blipFill>
                        <pic:spPr>
                          <a:xfrm>
                            <a:off x="0" y="0"/>
                            <a:ext cx="5972175" cy="4562475"/>
                          </a:xfrm>
                          <a:prstGeom prst="rect">
                            <a:avLst/>
                          </a:prstGeom>
                          <a:noFill/>
                          <a:ln w="19050" cmpd="sng">
                            <a:solidFill>
                              <a:srgbClr val="000000"/>
                            </a:solidFill>
                            <a:miter lim="800000"/>
                            <a:headEnd/>
                            <a:tailEnd/>
                          </a:ln>
                          <a:effectLst/>
                        </pic:spPr>
                      </pic:pic>
                    </a:graphicData>
                  </a:graphic>
                </wp:inline>
              </w:drawing>
            </w:r>
          </w:p>
          <w:p>
            <w:pPr>
              <w:snapToGrid w:val="0"/>
              <w:spacing w:afterLines="50" w:line="360" w:lineRule="auto"/>
              <w:jc w:val="center"/>
              <w:rPr>
                <w:b/>
                <w:sz w:val="24"/>
              </w:rPr>
            </w:pPr>
            <w:r>
              <w:rPr>
                <w:rFonts w:hint="eastAsia"/>
                <w:b/>
                <w:sz w:val="24"/>
              </w:rPr>
              <w:t>图3-3  项目大气、声环境保护目标示意图</w:t>
            </w:r>
          </w:p>
          <w:p>
            <w:pPr>
              <w:spacing w:line="360" w:lineRule="auto"/>
              <w:ind w:firstLine="480" w:firstLineChars="200"/>
              <w:rPr>
                <w:sz w:val="24"/>
              </w:rPr>
            </w:pPr>
            <w:r>
              <w:rPr>
                <w:rFonts w:hint="eastAsia"/>
                <w:sz w:val="24"/>
              </w:rPr>
              <w:t>图3-4为部分大气环境保护目标现场照片。</w:t>
            </w:r>
          </w:p>
          <w:tbl>
            <w:tblPr>
              <w:tblStyle w:val="29"/>
              <w:tblW w:w="9303" w:type="dxa"/>
              <w:jc w:val="center"/>
              <w:tblInd w:w="0" w:type="dxa"/>
              <w:tblLayout w:type="fixed"/>
              <w:tblCellMar>
                <w:top w:w="0" w:type="dxa"/>
                <w:left w:w="108" w:type="dxa"/>
                <w:bottom w:w="0" w:type="dxa"/>
                <w:right w:w="108" w:type="dxa"/>
              </w:tblCellMar>
            </w:tblPr>
            <w:tblGrid>
              <w:gridCol w:w="4501"/>
              <w:gridCol w:w="4802"/>
            </w:tblGrid>
            <w:tr>
              <w:tblPrEx>
                <w:tblLayout w:type="fixed"/>
                <w:tblCellMar>
                  <w:top w:w="0" w:type="dxa"/>
                  <w:left w:w="108" w:type="dxa"/>
                  <w:bottom w:w="0" w:type="dxa"/>
                  <w:right w:w="108" w:type="dxa"/>
                </w:tblCellMar>
              </w:tblPrEx>
              <w:trPr>
                <w:trHeight w:val="397" w:hRule="atLeast"/>
                <w:jc w:val="center"/>
              </w:trPr>
              <w:tc>
                <w:tcPr>
                  <w:tcW w:w="4501" w:type="dxa"/>
                  <w:vAlign w:val="center"/>
                </w:tcPr>
                <w:p>
                  <w:pPr>
                    <w:spacing w:line="360" w:lineRule="auto"/>
                    <w:jc w:val="center"/>
                    <w:rPr>
                      <w:sz w:val="24"/>
                    </w:rPr>
                  </w:pPr>
                  <w:r>
                    <w:rPr>
                      <w:rFonts w:hint="eastAsia"/>
                      <w:sz w:val="24"/>
                    </w:rPr>
                    <w:drawing>
                      <wp:inline distT="0" distB="0" distL="0" distR="0">
                        <wp:extent cx="2276475" cy="1609725"/>
                        <wp:effectExtent l="1905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9" cstate="print"/>
                                <a:srcRect/>
                                <a:stretch>
                                  <a:fillRect/>
                                </a:stretch>
                              </pic:blipFill>
                              <pic:spPr>
                                <a:xfrm>
                                  <a:off x="0" y="0"/>
                                  <a:ext cx="2276475" cy="1609725"/>
                                </a:xfrm>
                                <a:prstGeom prst="rect">
                                  <a:avLst/>
                                </a:prstGeom>
                                <a:noFill/>
                                <a:ln w="9525">
                                  <a:noFill/>
                                  <a:miter lim="800000"/>
                                  <a:headEnd/>
                                  <a:tailEnd/>
                                </a:ln>
                              </pic:spPr>
                            </pic:pic>
                          </a:graphicData>
                        </a:graphic>
                      </wp:inline>
                    </w:drawing>
                  </w:r>
                </w:p>
              </w:tc>
              <w:tc>
                <w:tcPr>
                  <w:tcW w:w="4802" w:type="dxa"/>
                  <w:vAlign w:val="center"/>
                </w:tcPr>
                <w:p>
                  <w:pPr>
                    <w:spacing w:line="360" w:lineRule="auto"/>
                    <w:ind w:firstLine="480" w:firstLineChars="200"/>
                    <w:rPr>
                      <w:sz w:val="24"/>
                    </w:rPr>
                  </w:pPr>
                  <w:r>
                    <w:rPr>
                      <w:sz w:val="24"/>
                    </w:rPr>
                    <w:drawing>
                      <wp:inline distT="0" distB="0" distL="0" distR="0">
                        <wp:extent cx="2076450" cy="160020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30" cstate="print"/>
                                <a:srcRect/>
                                <a:stretch>
                                  <a:fillRect/>
                                </a:stretch>
                              </pic:blipFill>
                              <pic:spPr>
                                <a:xfrm>
                                  <a:off x="0" y="0"/>
                                  <a:ext cx="2076450" cy="1600200"/>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rPr>
                <w:trHeight w:val="397" w:hRule="atLeast"/>
                <w:jc w:val="center"/>
              </w:trPr>
              <w:tc>
                <w:tcPr>
                  <w:tcW w:w="4501" w:type="dxa"/>
                  <w:vAlign w:val="center"/>
                </w:tcPr>
                <w:p>
                  <w:pPr>
                    <w:spacing w:line="360" w:lineRule="auto"/>
                    <w:ind w:firstLine="422" w:firstLineChars="200"/>
                    <w:jc w:val="center"/>
                    <w:rPr>
                      <w:b/>
                      <w:szCs w:val="21"/>
                    </w:rPr>
                  </w:pPr>
                  <w:r>
                    <w:rPr>
                      <w:rFonts w:hint="eastAsia"/>
                      <w:b/>
                      <w:szCs w:val="21"/>
                    </w:rPr>
                    <w:t>响水乡政府</w:t>
                  </w:r>
                </w:p>
              </w:tc>
              <w:tc>
                <w:tcPr>
                  <w:tcW w:w="4802" w:type="dxa"/>
                  <w:vAlign w:val="center"/>
                </w:tcPr>
                <w:p>
                  <w:pPr>
                    <w:spacing w:line="360" w:lineRule="auto"/>
                    <w:ind w:firstLine="422" w:firstLineChars="200"/>
                    <w:jc w:val="center"/>
                    <w:rPr>
                      <w:sz w:val="24"/>
                    </w:rPr>
                  </w:pPr>
                  <w:r>
                    <w:rPr>
                      <w:rFonts w:hint="eastAsia"/>
                      <w:b/>
                      <w:szCs w:val="21"/>
                    </w:rPr>
                    <w:t>杉山学校</w:t>
                  </w:r>
                </w:p>
              </w:tc>
            </w:tr>
            <w:tr>
              <w:tblPrEx>
                <w:tblLayout w:type="fixed"/>
                <w:tblCellMar>
                  <w:top w:w="0" w:type="dxa"/>
                  <w:left w:w="108" w:type="dxa"/>
                  <w:bottom w:w="0" w:type="dxa"/>
                  <w:right w:w="108" w:type="dxa"/>
                </w:tblCellMar>
              </w:tblPrEx>
              <w:trPr>
                <w:trHeight w:val="397" w:hRule="atLeast"/>
                <w:jc w:val="center"/>
              </w:trPr>
              <w:tc>
                <w:tcPr>
                  <w:tcW w:w="4501" w:type="dxa"/>
                  <w:vAlign w:val="center"/>
                </w:tcPr>
                <w:p>
                  <w:pPr>
                    <w:spacing w:line="360" w:lineRule="auto"/>
                    <w:jc w:val="center"/>
                    <w:rPr>
                      <w:b/>
                      <w:szCs w:val="21"/>
                    </w:rPr>
                  </w:pPr>
                  <w:r>
                    <w:rPr>
                      <w:rFonts w:hint="eastAsia"/>
                      <w:b/>
                      <w:szCs w:val="21"/>
                    </w:rPr>
                    <w:drawing>
                      <wp:inline distT="0" distB="0" distL="0" distR="0">
                        <wp:extent cx="2143125" cy="160972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1" cstate="print"/>
                                <a:srcRect/>
                                <a:stretch>
                                  <a:fillRect/>
                                </a:stretch>
                              </pic:blipFill>
                              <pic:spPr>
                                <a:xfrm>
                                  <a:off x="0" y="0"/>
                                  <a:ext cx="2143125" cy="1609725"/>
                                </a:xfrm>
                                <a:prstGeom prst="rect">
                                  <a:avLst/>
                                </a:prstGeom>
                                <a:noFill/>
                                <a:ln w="9525">
                                  <a:noFill/>
                                  <a:miter lim="800000"/>
                                  <a:headEnd/>
                                  <a:tailEnd/>
                                </a:ln>
                              </pic:spPr>
                            </pic:pic>
                          </a:graphicData>
                        </a:graphic>
                      </wp:inline>
                    </w:drawing>
                  </w:r>
                </w:p>
              </w:tc>
              <w:tc>
                <w:tcPr>
                  <w:tcW w:w="4802" w:type="dxa"/>
                  <w:vAlign w:val="center"/>
                </w:tcPr>
                <w:p>
                  <w:pPr>
                    <w:spacing w:line="360" w:lineRule="auto"/>
                    <w:ind w:firstLine="422" w:firstLineChars="200"/>
                    <w:jc w:val="center"/>
                    <w:rPr>
                      <w:b/>
                      <w:szCs w:val="21"/>
                    </w:rPr>
                  </w:pPr>
                  <w:r>
                    <w:rPr>
                      <w:rFonts w:hint="eastAsia"/>
                      <w:b/>
                      <w:szCs w:val="21"/>
                    </w:rPr>
                    <w:drawing>
                      <wp:inline distT="0" distB="0" distL="0" distR="0">
                        <wp:extent cx="2171700" cy="16002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32"/>
                                <a:srcRect/>
                                <a:stretch>
                                  <a:fillRect/>
                                </a:stretch>
                              </pic:blipFill>
                              <pic:spPr>
                                <a:xfrm>
                                  <a:off x="0" y="0"/>
                                  <a:ext cx="2171700" cy="1600200"/>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rPr>
                <w:trHeight w:val="397" w:hRule="atLeast"/>
                <w:jc w:val="center"/>
              </w:trPr>
              <w:tc>
                <w:tcPr>
                  <w:tcW w:w="4501" w:type="dxa"/>
                  <w:vAlign w:val="center"/>
                </w:tcPr>
                <w:p>
                  <w:pPr>
                    <w:spacing w:line="360" w:lineRule="auto"/>
                    <w:jc w:val="center"/>
                    <w:rPr>
                      <w:b/>
                      <w:szCs w:val="21"/>
                    </w:rPr>
                  </w:pPr>
                  <w:r>
                    <w:rPr>
                      <w:rFonts w:hint="eastAsia"/>
                      <w:b/>
                      <w:szCs w:val="21"/>
                    </w:rPr>
                    <w:t>杉山安置区</w:t>
                  </w:r>
                </w:p>
              </w:tc>
              <w:tc>
                <w:tcPr>
                  <w:tcW w:w="4802" w:type="dxa"/>
                  <w:vAlign w:val="center"/>
                </w:tcPr>
                <w:p>
                  <w:pPr>
                    <w:spacing w:line="360" w:lineRule="auto"/>
                    <w:ind w:firstLine="422" w:firstLineChars="200"/>
                    <w:jc w:val="center"/>
                    <w:rPr>
                      <w:b/>
                      <w:szCs w:val="21"/>
                    </w:rPr>
                  </w:pPr>
                  <w:r>
                    <w:rPr>
                      <w:rFonts w:hint="eastAsia"/>
                      <w:b/>
                      <w:szCs w:val="21"/>
                    </w:rPr>
                    <w:t>九怡佳苑</w:t>
                  </w:r>
                </w:p>
              </w:tc>
            </w:tr>
          </w:tbl>
          <w:p>
            <w:pPr>
              <w:snapToGrid w:val="0"/>
              <w:spacing w:afterLines="50" w:line="360" w:lineRule="auto"/>
              <w:jc w:val="center"/>
              <w:rPr>
                <w:b/>
                <w:sz w:val="24"/>
              </w:rPr>
            </w:pPr>
            <w:r>
              <w:rPr>
                <w:rFonts w:hint="eastAsia"/>
                <w:b/>
                <w:sz w:val="24"/>
              </w:rPr>
              <w:t>图3-4  部分大气环境保护目标现场照片</w:t>
            </w:r>
          </w:p>
          <w:p>
            <w:pPr>
              <w:spacing w:line="360" w:lineRule="auto"/>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jc w:val="center"/>
              <w:rPr>
                <w:sz w:val="18"/>
                <w:szCs w:val="18"/>
              </w:rPr>
            </w:pPr>
          </w:p>
          <w:p>
            <w:pPr>
              <w:jc w:val="center"/>
              <w:rPr>
                <w:sz w:val="28"/>
              </w:rPr>
            </w:pPr>
          </w:p>
          <w:p>
            <w:pPr>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28"/>
              </w:rPr>
            </w:pPr>
          </w:p>
          <w:p>
            <w:pPr>
              <w:spacing w:line="360" w:lineRule="auto"/>
              <w:jc w:val="center"/>
              <w:rPr>
                <w:sz w:val="18"/>
                <w:szCs w:val="18"/>
              </w:rPr>
            </w:pPr>
          </w:p>
        </w:tc>
      </w:tr>
    </w:tbl>
    <w:p>
      <w:pPr>
        <w:tabs>
          <w:tab w:val="left" w:pos="3828"/>
        </w:tabs>
        <w:spacing w:line="460" w:lineRule="exact"/>
        <w:outlineLvl w:val="0"/>
        <w:rPr>
          <w:rFonts w:ascii="黑体" w:hAnsi="黑体" w:eastAsia="黑体"/>
          <w:b/>
          <w:spacing w:val="6"/>
          <w:sz w:val="30"/>
          <w:szCs w:val="30"/>
        </w:rPr>
      </w:pPr>
      <w:r>
        <w:rPr>
          <w:rFonts w:hint="eastAsia" w:ascii="黑体" w:hAnsi="黑体" w:eastAsia="黑体"/>
          <w:b/>
          <w:spacing w:val="6"/>
          <w:sz w:val="30"/>
          <w:szCs w:val="30"/>
        </w:rPr>
        <w:t>四、</w:t>
      </w:r>
      <w:r>
        <w:rPr>
          <w:rFonts w:ascii="黑体" w:hAnsi="黑体" w:eastAsia="黑体"/>
          <w:b/>
          <w:spacing w:val="6"/>
          <w:sz w:val="30"/>
          <w:szCs w:val="30"/>
        </w:rPr>
        <w:t>评价适用标准</w:t>
      </w:r>
    </w:p>
    <w:tbl>
      <w:tblPr>
        <w:tblStyle w:val="29"/>
        <w:tblW w:w="9460"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8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 w:type="dxa"/>
            <w:vAlign w:val="center"/>
          </w:tcPr>
          <w:p>
            <w:pPr>
              <w:spacing w:line="360" w:lineRule="auto"/>
              <w:jc w:val="center"/>
              <w:rPr>
                <w:spacing w:val="6"/>
                <w:sz w:val="28"/>
              </w:rPr>
            </w:pPr>
            <w:r>
              <w:rPr>
                <w:spacing w:val="6"/>
                <w:sz w:val="28"/>
              </w:rPr>
              <w:t>环境质量标准</w:t>
            </w:r>
          </w:p>
        </w:tc>
        <w:tc>
          <w:tcPr>
            <w:tcW w:w="8899" w:type="dxa"/>
          </w:tcPr>
          <w:p>
            <w:pPr>
              <w:spacing w:line="360" w:lineRule="auto"/>
              <w:rPr>
                <w:sz w:val="24"/>
              </w:rPr>
            </w:pPr>
            <w:r>
              <w:rPr>
                <w:sz w:val="24"/>
              </w:rPr>
              <w:t>（1）环境空气质量：SO</w:t>
            </w:r>
            <w:r>
              <w:rPr>
                <w:sz w:val="24"/>
                <w:vertAlign w:val="subscript"/>
              </w:rPr>
              <w:t>2</w:t>
            </w:r>
            <w:r>
              <w:rPr>
                <w:rFonts w:hint="eastAsia"/>
                <w:sz w:val="24"/>
              </w:rPr>
              <w:t>、</w:t>
            </w:r>
            <w:r>
              <w:rPr>
                <w:sz w:val="24"/>
              </w:rPr>
              <w:t>NO</w:t>
            </w:r>
            <w:r>
              <w:rPr>
                <w:sz w:val="24"/>
                <w:vertAlign w:val="subscript"/>
              </w:rPr>
              <w:t>2</w:t>
            </w:r>
            <w:r>
              <w:rPr>
                <w:rFonts w:hint="eastAsia"/>
                <w:sz w:val="24"/>
              </w:rPr>
              <w:t>、</w:t>
            </w:r>
            <w:r>
              <w:rPr>
                <w:sz w:val="24"/>
              </w:rPr>
              <w:t>PM</w:t>
            </w:r>
            <w:r>
              <w:rPr>
                <w:rFonts w:hint="eastAsia"/>
                <w:sz w:val="24"/>
                <w:vertAlign w:val="subscript"/>
              </w:rPr>
              <w:t>10</w:t>
            </w:r>
            <w:r>
              <w:rPr>
                <w:rFonts w:hint="eastAsia"/>
                <w:sz w:val="24"/>
              </w:rPr>
              <w:t>、</w:t>
            </w:r>
            <w:r>
              <w:rPr>
                <w:sz w:val="24"/>
              </w:rPr>
              <w:t>PM</w:t>
            </w:r>
            <w:r>
              <w:rPr>
                <w:rFonts w:hint="eastAsia"/>
                <w:sz w:val="24"/>
                <w:vertAlign w:val="subscript"/>
              </w:rPr>
              <w:t>2.5</w:t>
            </w:r>
            <w:r>
              <w:rPr>
                <w:kern w:val="0"/>
                <w:sz w:val="24"/>
                <w:lang w:val="zh-CN"/>
              </w:rPr>
              <w:t>执行《环境空气质量标准》</w:t>
            </w:r>
            <w:r>
              <w:rPr>
                <w:rFonts w:hint="eastAsia"/>
                <w:kern w:val="0"/>
                <w:sz w:val="24"/>
                <w:lang w:val="zh-CN"/>
              </w:rPr>
              <w:t>（</w:t>
            </w:r>
            <w:r>
              <w:rPr>
                <w:kern w:val="0"/>
                <w:sz w:val="24"/>
                <w:lang w:val="zh-CN"/>
              </w:rPr>
              <w:t>GB3095-</w:t>
            </w:r>
            <w:r>
              <w:rPr>
                <w:rFonts w:hint="eastAsia"/>
                <w:kern w:val="0"/>
                <w:sz w:val="24"/>
                <w:lang w:val="zh-CN"/>
              </w:rPr>
              <w:t>2012）</w:t>
            </w:r>
            <w:r>
              <w:rPr>
                <w:kern w:val="0"/>
                <w:sz w:val="24"/>
                <w:lang w:val="zh-CN"/>
              </w:rPr>
              <w:t>中二级标准，</w:t>
            </w:r>
            <w:r>
              <w:rPr>
                <w:rFonts w:hint="eastAsia"/>
                <w:kern w:val="0"/>
                <w:sz w:val="24"/>
                <w:lang w:val="zh-CN"/>
              </w:rPr>
              <w:t>挥发性有机化合物（VOCs）参照执行《室内空气质量标准》（GBT18883-2002）表1标准，非甲烷总烃参照执行《环境空气质量  非甲烷总烃限值》（DB13/1577-2012）表1中二级标准。</w:t>
            </w:r>
            <w:r>
              <w:rPr>
                <w:sz w:val="24"/>
              </w:rPr>
              <w:t>。</w:t>
            </w:r>
          </w:p>
          <w:p>
            <w:pPr>
              <w:spacing w:line="360" w:lineRule="auto"/>
              <w:rPr>
                <w:sz w:val="24"/>
              </w:rPr>
            </w:pPr>
            <w:r>
              <w:rPr>
                <w:sz w:val="24"/>
              </w:rPr>
              <w:t>（2）地表水：湘江（</w:t>
            </w:r>
            <w:r>
              <w:rPr>
                <w:rFonts w:hint="eastAsia"/>
                <w:sz w:val="24"/>
              </w:rPr>
              <w:t>湘纺取水口下游</w:t>
            </w:r>
            <w:r>
              <w:rPr>
                <w:sz w:val="24"/>
              </w:rPr>
              <w:t>200</w:t>
            </w:r>
            <w:r>
              <w:rPr>
                <w:rFonts w:hint="eastAsia"/>
                <w:sz w:val="24"/>
              </w:rPr>
              <w:t>米至易家湾</w:t>
            </w:r>
            <w:r>
              <w:rPr>
                <w:sz w:val="24"/>
              </w:rPr>
              <w:t>，长度</w:t>
            </w:r>
            <w:r>
              <w:rPr>
                <w:rFonts w:hint="eastAsia"/>
                <w:sz w:val="24"/>
              </w:rPr>
              <w:t>18</w:t>
            </w:r>
            <w:r>
              <w:rPr>
                <w:sz w:val="24"/>
              </w:rPr>
              <w:t>.4km）执行《地表水环境质量标准》（GB3838-2002）</w:t>
            </w:r>
            <w:r>
              <w:rPr>
                <w:rFonts w:hint="eastAsia"/>
                <w:sz w:val="24"/>
              </w:rPr>
              <w:t>Ⅲ</w:t>
            </w:r>
            <w:r>
              <w:rPr>
                <w:sz w:val="24"/>
              </w:rPr>
              <w:t>类标准。</w:t>
            </w:r>
          </w:p>
          <w:p>
            <w:pPr>
              <w:spacing w:line="360" w:lineRule="auto"/>
              <w:rPr>
                <w:rFonts w:hint="eastAsia"/>
                <w:sz w:val="24"/>
              </w:rPr>
            </w:pPr>
            <w:r>
              <w:rPr>
                <w:sz w:val="24"/>
              </w:rPr>
              <w:t>（3）声环境：</w:t>
            </w:r>
            <w:r>
              <w:rPr>
                <w:rFonts w:hint="eastAsia"/>
                <w:sz w:val="24"/>
              </w:rPr>
              <w:t>项目所在地白石西路、江南大道、九昭西路35m范围内声环境</w:t>
            </w:r>
            <w:r>
              <w:rPr>
                <w:sz w:val="24"/>
              </w:rPr>
              <w:t>执行《声环境质量标准》（GB3096-2008）的</w:t>
            </w:r>
            <w:r>
              <w:rPr>
                <w:rFonts w:hint="eastAsia"/>
                <w:sz w:val="24"/>
              </w:rPr>
              <w:t>4a</w:t>
            </w:r>
            <w:r>
              <w:rPr>
                <w:sz w:val="24"/>
              </w:rPr>
              <w:t>类标准</w:t>
            </w:r>
            <w:r>
              <w:rPr>
                <w:rFonts w:hint="eastAsia"/>
                <w:sz w:val="24"/>
              </w:rPr>
              <w:t>，其他区域执行该标准中的3类标准限值</w:t>
            </w:r>
            <w:r>
              <w:rPr>
                <w:sz w:val="24"/>
              </w:rPr>
              <w:t>。</w:t>
            </w:r>
          </w:p>
          <w:p>
            <w:pPr>
              <w:spacing w:line="360" w:lineRule="auto"/>
              <w:rPr>
                <w:rFonts w:hint="eastAsia"/>
                <w:sz w:val="24"/>
              </w:rPr>
            </w:pPr>
          </w:p>
          <w:p>
            <w:pPr>
              <w:spacing w:line="360" w:lineRule="auto"/>
              <w:rPr>
                <w:rFonts w:hint="eastAsia"/>
                <w:sz w:val="24"/>
              </w:rPr>
            </w:pPr>
          </w:p>
          <w:p>
            <w:pPr>
              <w:spacing w:line="360" w:lineRule="auto"/>
              <w:rPr>
                <w:rFonts w:hint="eastAsia"/>
                <w:sz w:val="24"/>
              </w:rPr>
            </w:pPr>
          </w:p>
          <w:p>
            <w:pPr>
              <w:spacing w:line="360" w:lineRule="auto"/>
              <w:rPr>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1" w:type="dxa"/>
            <w:vAlign w:val="center"/>
          </w:tcPr>
          <w:p>
            <w:pPr>
              <w:pStyle w:val="8"/>
              <w:spacing w:line="360" w:lineRule="auto"/>
              <w:rPr>
                <w:rFonts w:ascii="Times New Roman"/>
              </w:rPr>
            </w:pPr>
            <w:r>
              <w:rPr>
                <w:rFonts w:ascii="Times New Roman"/>
              </w:rPr>
              <w:t>污染物排放标准</w:t>
            </w:r>
          </w:p>
        </w:tc>
        <w:tc>
          <w:tcPr>
            <w:tcW w:w="8899" w:type="dxa"/>
          </w:tcPr>
          <w:p>
            <w:pPr>
              <w:spacing w:line="360" w:lineRule="auto"/>
              <w:rPr>
                <w:sz w:val="24"/>
              </w:rPr>
            </w:pPr>
            <w:r>
              <w:rPr>
                <w:sz w:val="24"/>
              </w:rPr>
              <w:t>（1）废气：</w:t>
            </w:r>
            <w:r>
              <w:rPr>
                <w:rFonts w:hint="eastAsia"/>
                <w:sz w:val="24"/>
              </w:rPr>
              <w:t>非甲烷总烃、氮氧化物执行《大气污染物综合排放标准》（GB16297-1996）表2二级标准，挥发性有机化合物参照执行《工业企业挥发性有机物排放控制标准》（DB12/524-2014）标准，油烟执行《饮食业油烟排放标准》（GB18483-2001）标准。</w:t>
            </w:r>
          </w:p>
          <w:p>
            <w:pPr>
              <w:spacing w:line="360" w:lineRule="auto"/>
              <w:rPr>
                <w:sz w:val="24"/>
              </w:rPr>
            </w:pPr>
            <w:r>
              <w:rPr>
                <w:sz w:val="24"/>
              </w:rPr>
              <w:t>（2）废水</w:t>
            </w:r>
            <w:r>
              <w:rPr>
                <w:rFonts w:hint="eastAsia"/>
                <w:sz w:val="24"/>
              </w:rPr>
              <w:t>：执行《污水综合排放标准》（GB8978-1996）三级标准</w:t>
            </w:r>
            <w:r>
              <w:rPr>
                <w:sz w:val="24"/>
              </w:rPr>
              <w:t>。</w:t>
            </w:r>
          </w:p>
          <w:p>
            <w:pPr>
              <w:spacing w:line="360" w:lineRule="auto"/>
              <w:rPr>
                <w:sz w:val="24"/>
              </w:rPr>
            </w:pPr>
            <w:r>
              <w:rPr>
                <w:sz w:val="24"/>
              </w:rPr>
              <w:t>（3）噪声</w:t>
            </w:r>
            <w:r>
              <w:rPr>
                <w:rFonts w:hint="eastAsia"/>
                <w:sz w:val="24"/>
              </w:rPr>
              <w:t>：施工噪声执行《建筑施工场界环境噪声排放标准》（GB12523-2011）；营运期白石西路、江南大道、九昭西路35m范围内</w:t>
            </w:r>
            <w:r>
              <w:rPr>
                <w:sz w:val="24"/>
              </w:rPr>
              <w:t>执行《工业企业厂界噪声排放标准》（GB12348-2008）</w:t>
            </w:r>
            <w:r>
              <w:rPr>
                <w:rFonts w:hint="eastAsia"/>
                <w:sz w:val="24"/>
              </w:rPr>
              <w:t>4</w:t>
            </w:r>
            <w:r>
              <w:rPr>
                <w:sz w:val="24"/>
              </w:rPr>
              <w:t>类</w:t>
            </w:r>
            <w:r>
              <w:rPr>
                <w:rFonts w:hint="eastAsia"/>
                <w:sz w:val="24"/>
              </w:rPr>
              <w:t>标准限值，其它其余执行该标准中的3类标准限值。</w:t>
            </w:r>
          </w:p>
          <w:p>
            <w:pPr>
              <w:spacing w:line="360" w:lineRule="auto"/>
              <w:rPr>
                <w:rFonts w:hint="eastAsia"/>
                <w:sz w:val="24"/>
              </w:rPr>
            </w:pPr>
            <w:r>
              <w:rPr>
                <w:rFonts w:hint="eastAsia"/>
                <w:sz w:val="24"/>
              </w:rPr>
              <w:t>（4）</w:t>
            </w:r>
            <w:r>
              <w:rPr>
                <w:sz w:val="24"/>
              </w:rPr>
              <w:t>固体废物：生活垃圾执行《生活垃圾填埋场污染物控制标准》（GB16889-2008）；一般工业固废执行《一般工业固体废物储贮存、处置场污染控制标准》（GB18599-2001）及</w:t>
            </w:r>
            <w:r>
              <w:rPr>
                <w:rFonts w:hint="eastAsia"/>
                <w:sz w:val="24"/>
              </w:rPr>
              <w:t>2013年</w:t>
            </w:r>
            <w:r>
              <w:rPr>
                <w:sz w:val="24"/>
              </w:rPr>
              <w:t>修改单。</w:t>
            </w:r>
            <w:r>
              <w:rPr>
                <w:rFonts w:hint="eastAsia"/>
                <w:sz w:val="24"/>
              </w:rPr>
              <w:t>危险废物厂区内临时储存执行《危险废物贮存污染控制标准》（GB18597-2001）及2013年修改单。</w:t>
            </w:r>
          </w:p>
          <w:p>
            <w:pPr>
              <w:spacing w:line="360" w:lineRule="auto"/>
              <w:rPr>
                <w:rFonts w:hint="eastAsia"/>
                <w:sz w:val="24"/>
              </w:rPr>
            </w:pPr>
          </w:p>
          <w:p>
            <w:pPr>
              <w:spacing w:line="360" w:lineRule="auto"/>
              <w:rPr>
                <w:rFonts w:hint="eastAsia"/>
                <w:sz w:val="24"/>
              </w:rPr>
            </w:pPr>
          </w:p>
          <w:p>
            <w:pPr>
              <w:spacing w:line="360" w:lineRule="auto"/>
              <w:rPr>
                <w:rFonts w:hint="eastAsia"/>
                <w:sz w:val="24"/>
              </w:rPr>
            </w:pPr>
          </w:p>
          <w:p>
            <w:pPr>
              <w:spacing w:line="360" w:lineRule="auto"/>
              <w:rPr>
                <w:spacing w:val="6"/>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3" w:hRule="atLeast"/>
        </w:trPr>
        <w:tc>
          <w:tcPr>
            <w:tcW w:w="561" w:type="dxa"/>
            <w:tcBorders>
              <w:bottom w:val="single" w:color="auto" w:sz="4" w:space="0"/>
            </w:tcBorders>
            <w:vAlign w:val="center"/>
          </w:tcPr>
          <w:p>
            <w:pPr>
              <w:spacing w:line="360" w:lineRule="auto"/>
              <w:jc w:val="center"/>
              <w:rPr>
                <w:spacing w:val="6"/>
                <w:sz w:val="28"/>
              </w:rPr>
            </w:pPr>
            <w:r>
              <w:rPr>
                <w:spacing w:val="6"/>
                <w:sz w:val="28"/>
              </w:rPr>
              <w:t>总量控制指标</w:t>
            </w:r>
          </w:p>
        </w:tc>
        <w:tc>
          <w:tcPr>
            <w:tcW w:w="8899" w:type="dxa"/>
            <w:tcBorders>
              <w:bottom w:val="single" w:color="auto" w:sz="4" w:space="0"/>
            </w:tcBorders>
          </w:tcPr>
          <w:p>
            <w:pPr>
              <w:spacing w:line="360" w:lineRule="auto"/>
              <w:ind w:firstLine="504" w:firstLineChars="200"/>
              <w:rPr>
                <w:rFonts w:hint="eastAsia"/>
                <w:spacing w:val="6"/>
                <w:sz w:val="24"/>
              </w:rPr>
            </w:pPr>
            <w:r>
              <w:rPr>
                <w:rFonts w:hint="eastAsia"/>
                <w:spacing w:val="6"/>
                <w:sz w:val="24"/>
              </w:rPr>
              <w:t>本项目排放的废气主要有热处理废气（主要污染物为非甲烷总烃、氮氧化物）、清洗废气及注塑废气（主要污染物为挥发性有机化合物）、职工食堂油烟废气；排放的废水主要为生产废水及生活废水（主要污染物为化学需氧量、氨氮、石油类、动植物油等）。根据国家及地方总量指标管理要求，结合本项目污染物排放情况分析，本项目需对氮氧化物、化学需氧量、氨氮购买污染物总量指标。</w:t>
            </w:r>
          </w:p>
          <w:p>
            <w:pPr>
              <w:spacing w:line="360" w:lineRule="auto"/>
              <w:ind w:firstLine="504" w:firstLineChars="200"/>
              <w:rPr>
                <w:rFonts w:hint="eastAsia"/>
                <w:spacing w:val="6"/>
                <w:sz w:val="24"/>
              </w:rPr>
            </w:pPr>
            <w:r>
              <w:rPr>
                <w:rFonts w:hint="eastAsia"/>
                <w:spacing w:val="6"/>
                <w:sz w:val="24"/>
              </w:rPr>
              <w:t>本项目滚子摇臂、可变滚子摇臂、张紧器热处理废气热处理高温加热炉废气燃烧后经15m排气筒（2#）引至楼顶排放，排放的废气中氮氧化物含量为0.026吨/年；轮毂轴承热处理废气热处理高温加热炉废气燃烧后经15m排气筒（3#）引至楼顶排放，排放的废气中氮氧化物含量为0.017吨/年。</w:t>
            </w:r>
          </w:p>
          <w:p>
            <w:pPr>
              <w:spacing w:line="360" w:lineRule="auto"/>
              <w:ind w:firstLine="504" w:firstLineChars="200"/>
              <w:rPr>
                <w:rFonts w:hint="eastAsia"/>
                <w:spacing w:val="6"/>
                <w:sz w:val="24"/>
              </w:rPr>
            </w:pPr>
            <w:r>
              <w:rPr>
                <w:rFonts w:hint="eastAsia"/>
                <w:spacing w:val="6"/>
                <w:sz w:val="24"/>
              </w:rPr>
              <w:t>本项目废水经厂区污水处理设施预处理后排入湘潭市九华污水处理厂处理达标后最终汇入湘江。根据核算，本项目排入湘江的废水中</w:t>
            </w:r>
            <w:r>
              <w:rPr>
                <w:spacing w:val="6"/>
                <w:sz w:val="24"/>
              </w:rPr>
              <w:t>COD</w:t>
            </w:r>
            <w:r>
              <w:rPr>
                <w:rFonts w:hint="eastAsia"/>
                <w:spacing w:val="6"/>
                <w:sz w:val="24"/>
              </w:rPr>
              <w:t>化学需氧量含量为0.943吨，氨氮含量为0.094吨。</w:t>
            </w:r>
          </w:p>
          <w:p>
            <w:pPr>
              <w:spacing w:line="360" w:lineRule="auto"/>
              <w:ind w:firstLine="504" w:firstLineChars="200"/>
              <w:rPr>
                <w:rFonts w:hint="eastAsia"/>
                <w:spacing w:val="6"/>
                <w:sz w:val="24"/>
              </w:rPr>
            </w:pPr>
            <w:r>
              <w:rPr>
                <w:rFonts w:hint="eastAsia"/>
                <w:spacing w:val="6"/>
                <w:sz w:val="24"/>
              </w:rPr>
              <w:t>环评建议按照上述核算量申请排污权总量，即：氮氧化物0.043吨/年，化学需氧量0.943吨/年，氨氮</w:t>
            </w:r>
            <w:r>
              <w:rPr>
                <w:spacing w:val="6"/>
                <w:sz w:val="24"/>
              </w:rPr>
              <w:t>0.0</w:t>
            </w:r>
            <w:r>
              <w:rPr>
                <w:rFonts w:hint="eastAsia"/>
                <w:spacing w:val="6"/>
                <w:sz w:val="24"/>
              </w:rPr>
              <w:t>94吨/年。其中氮氧化物排污权总量自湘潭市内部平衡，化学需氧量、氨氮</w:t>
            </w:r>
            <w:r>
              <w:rPr>
                <w:sz w:val="24"/>
              </w:rPr>
              <w:t>总量控制指标纳入</w:t>
            </w:r>
            <w:r>
              <w:rPr>
                <w:rFonts w:hint="eastAsia"/>
                <w:bCs/>
                <w:sz w:val="24"/>
              </w:rPr>
              <w:t>湘潭市九华</w:t>
            </w:r>
            <w:r>
              <w:rPr>
                <w:bCs/>
                <w:sz w:val="24"/>
              </w:rPr>
              <w:t>污水处理厂进行控制。</w:t>
            </w:r>
          </w:p>
          <w:p>
            <w:pPr>
              <w:spacing w:line="360" w:lineRule="auto"/>
              <w:ind w:firstLine="438" w:firstLineChars="150"/>
              <w:rPr>
                <w:rFonts w:hint="eastAsia"/>
                <w:color w:val="FF0000"/>
                <w:spacing w:val="6"/>
                <w:sz w:val="28"/>
              </w:rPr>
            </w:pPr>
          </w:p>
          <w:p>
            <w:pPr>
              <w:spacing w:line="360" w:lineRule="auto"/>
              <w:ind w:firstLine="438" w:firstLineChars="150"/>
              <w:rPr>
                <w:rFonts w:hint="eastAsia"/>
                <w:color w:val="FF0000"/>
                <w:spacing w:val="6"/>
                <w:sz w:val="28"/>
              </w:rPr>
            </w:pPr>
          </w:p>
          <w:p>
            <w:pPr>
              <w:spacing w:line="360" w:lineRule="auto"/>
              <w:ind w:firstLine="438" w:firstLineChars="150"/>
              <w:rPr>
                <w:rFonts w:hint="eastAsia"/>
                <w:color w:val="FF0000"/>
                <w:spacing w:val="6"/>
                <w:sz w:val="28"/>
              </w:rPr>
            </w:pPr>
          </w:p>
          <w:p>
            <w:pPr>
              <w:spacing w:line="360" w:lineRule="auto"/>
              <w:ind w:firstLine="438" w:firstLineChars="150"/>
              <w:rPr>
                <w:rFonts w:hint="eastAsia"/>
                <w:color w:val="FF0000"/>
                <w:spacing w:val="6"/>
                <w:sz w:val="28"/>
              </w:rPr>
            </w:pPr>
          </w:p>
          <w:p>
            <w:pPr>
              <w:spacing w:line="360" w:lineRule="auto"/>
              <w:ind w:firstLine="438" w:firstLineChars="150"/>
              <w:rPr>
                <w:rFonts w:hint="eastAsia"/>
                <w:color w:val="FF0000"/>
                <w:spacing w:val="6"/>
                <w:sz w:val="28"/>
              </w:rPr>
            </w:pPr>
          </w:p>
          <w:p>
            <w:pPr>
              <w:spacing w:line="360" w:lineRule="auto"/>
              <w:ind w:firstLine="438" w:firstLineChars="150"/>
              <w:rPr>
                <w:rFonts w:hint="eastAsia"/>
                <w:color w:val="FF0000"/>
                <w:spacing w:val="6"/>
                <w:sz w:val="28"/>
              </w:rPr>
            </w:pPr>
          </w:p>
          <w:p>
            <w:pPr>
              <w:spacing w:line="360" w:lineRule="auto"/>
              <w:ind w:firstLine="438" w:firstLineChars="150"/>
              <w:rPr>
                <w:rFonts w:hint="eastAsia"/>
                <w:color w:val="FF0000"/>
                <w:spacing w:val="6"/>
                <w:sz w:val="28"/>
              </w:rPr>
            </w:pPr>
          </w:p>
          <w:p>
            <w:pPr>
              <w:spacing w:line="360" w:lineRule="auto"/>
              <w:ind w:firstLine="438" w:firstLineChars="150"/>
              <w:rPr>
                <w:rFonts w:hint="eastAsia"/>
                <w:color w:val="FF0000"/>
                <w:spacing w:val="6"/>
                <w:sz w:val="28"/>
              </w:rPr>
            </w:pPr>
          </w:p>
          <w:p>
            <w:pPr>
              <w:spacing w:line="360" w:lineRule="auto"/>
              <w:ind w:firstLine="438" w:firstLineChars="150"/>
              <w:rPr>
                <w:rFonts w:hint="eastAsia"/>
                <w:color w:val="FF0000"/>
                <w:spacing w:val="6"/>
                <w:sz w:val="28"/>
              </w:rPr>
            </w:pPr>
          </w:p>
          <w:p>
            <w:pPr>
              <w:spacing w:line="360" w:lineRule="auto"/>
              <w:ind w:firstLine="438" w:firstLineChars="150"/>
              <w:rPr>
                <w:color w:val="FF0000"/>
                <w:spacing w:val="6"/>
                <w:sz w:val="28"/>
              </w:rPr>
            </w:pPr>
          </w:p>
        </w:tc>
      </w:tr>
    </w:tbl>
    <w:p>
      <w:pPr>
        <w:tabs>
          <w:tab w:val="left" w:pos="3828"/>
        </w:tabs>
        <w:spacing w:line="460" w:lineRule="exact"/>
        <w:outlineLvl w:val="0"/>
        <w:rPr>
          <w:rFonts w:ascii="黑体" w:hAnsi="黑体" w:eastAsia="黑体"/>
          <w:b/>
          <w:spacing w:val="6"/>
          <w:sz w:val="30"/>
          <w:szCs w:val="30"/>
        </w:rPr>
      </w:pPr>
      <w:r>
        <w:rPr>
          <w:rFonts w:hint="eastAsia" w:ascii="黑体" w:hAnsi="黑体" w:eastAsia="黑体"/>
          <w:b/>
          <w:spacing w:val="6"/>
          <w:sz w:val="30"/>
          <w:szCs w:val="30"/>
        </w:rPr>
        <w:t>五、</w:t>
      </w:r>
      <w:r>
        <w:rPr>
          <w:rFonts w:ascii="黑体" w:hAnsi="黑体" w:eastAsia="黑体"/>
          <w:b/>
          <w:spacing w:val="6"/>
          <w:sz w:val="30"/>
          <w:szCs w:val="30"/>
        </w:rPr>
        <w:t>建设项目工程分析</w:t>
      </w:r>
    </w:p>
    <w:tbl>
      <w:tblPr>
        <w:tblStyle w:val="29"/>
        <w:tblW w:w="9580" w:type="dxa"/>
        <w:tblInd w:w="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5" w:hRule="atLeast"/>
        </w:trPr>
        <w:tc>
          <w:tcPr>
            <w:tcW w:w="9580" w:type="dxa"/>
          </w:tcPr>
          <w:p>
            <w:pPr>
              <w:spacing w:afterLines="50" w:line="460" w:lineRule="exact"/>
              <w:jc w:val="left"/>
              <w:rPr>
                <w:rFonts w:ascii="宋体" w:hAnsi="宋体"/>
                <w:b/>
                <w:bCs/>
                <w:color w:val="auto"/>
                <w:spacing w:val="-8"/>
                <w:sz w:val="28"/>
                <w:szCs w:val="28"/>
                <w:highlight w:val="none"/>
              </w:rPr>
            </w:pPr>
            <w:r>
              <w:rPr>
                <w:rFonts w:ascii="宋体" w:hAnsi="宋体"/>
                <w:b/>
                <w:bCs/>
                <w:color w:val="auto"/>
                <w:spacing w:val="-8"/>
                <w:sz w:val="28"/>
                <w:szCs w:val="28"/>
                <w:highlight w:val="none"/>
              </w:rPr>
              <w:t>5.1 工艺流程及产污节点简述</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5.1.1 施工期工艺流程及产排污节点</w:t>
            </w:r>
          </w:p>
          <w:p>
            <w:pPr>
              <w:spacing w:line="360" w:lineRule="auto"/>
              <w:ind w:firstLine="480" w:firstLineChars="200"/>
              <w:rPr>
                <w:color w:val="auto"/>
                <w:sz w:val="24"/>
                <w:highlight w:val="none"/>
              </w:rPr>
            </w:pPr>
            <w:r>
              <w:rPr>
                <w:rFonts w:hint="eastAsia"/>
                <w:color w:val="auto"/>
                <w:sz w:val="24"/>
                <w:highlight w:val="none"/>
              </w:rPr>
              <w:t>项目施工期主要工艺流程包括场地平整、基础工程、主体工程、装饰工程等，施工过程中主要污染物为施工噪声，施工扬尘，施工废水及生活污水，建筑弃渣、废弃土石方以及生活垃圾，具体流程及排污节点见下图5-1。</w:t>
            </w:r>
          </w:p>
          <w:p>
            <w:pPr>
              <w:spacing w:line="360" w:lineRule="auto"/>
              <w:jc w:val="center"/>
              <w:rPr>
                <w:color w:val="auto"/>
                <w:sz w:val="24"/>
                <w:highlight w:val="none"/>
              </w:rPr>
            </w:pPr>
            <w:bookmarkStart w:id="0" w:name="_1262503292"/>
            <w:bookmarkEnd w:id="0"/>
            <w:bookmarkStart w:id="1" w:name="_1262505843"/>
            <w:bookmarkEnd w:id="1"/>
            <w:bookmarkStart w:id="2" w:name="_1261419431"/>
            <w:bookmarkEnd w:id="2"/>
            <w:bookmarkStart w:id="3" w:name="_1262502659"/>
            <w:bookmarkEnd w:id="3"/>
            <w:r>
              <w:rPr>
                <w:color w:val="auto"/>
                <w:sz w:val="28"/>
                <w:highlight w:val="none"/>
              </w:rPr>
              <w:object>
                <v:shape id="_x0000_i1025" o:spt="75" type="#_x0000_t75" style="height:108pt;width:435pt;" o:ole="t" filled="f" o:preferrelative="t" stroked="f" coordsize="21600,21600">
                  <v:path/>
                  <v:fill on="f" focussize="0,0"/>
                  <v:stroke on="f" joinstyle="miter"/>
                  <v:imagedata r:id="rId34" o:title=""/>
                  <o:lock v:ext="edit" aspectratio="t"/>
                  <w10:wrap type="none"/>
                  <w10:anchorlock/>
                </v:shape>
                <o:OLEObject Type="Embed" ProgID="Word.Picture.8" ShapeID="_x0000_i1025" DrawAspect="Content" ObjectID="_1468075725" r:id="rId33">
                  <o:LockedField>false</o:LockedField>
                </o:OLEObject>
              </w:object>
            </w:r>
          </w:p>
          <w:p>
            <w:pPr>
              <w:snapToGrid w:val="0"/>
              <w:spacing w:afterLines="50" w:line="360" w:lineRule="auto"/>
              <w:jc w:val="center"/>
              <w:rPr>
                <w:b/>
                <w:color w:val="auto"/>
                <w:sz w:val="24"/>
                <w:highlight w:val="none"/>
              </w:rPr>
            </w:pPr>
            <w:r>
              <w:rPr>
                <w:b/>
                <w:color w:val="auto"/>
                <w:sz w:val="24"/>
                <w:highlight w:val="none"/>
              </w:rPr>
              <w:t>图</w:t>
            </w:r>
            <w:r>
              <w:rPr>
                <w:rFonts w:hint="eastAsia"/>
                <w:b/>
                <w:color w:val="auto"/>
                <w:sz w:val="24"/>
                <w:highlight w:val="none"/>
              </w:rPr>
              <w:t>5-1</w:t>
            </w:r>
            <w:r>
              <w:rPr>
                <w:b/>
                <w:color w:val="auto"/>
                <w:sz w:val="24"/>
                <w:highlight w:val="none"/>
              </w:rPr>
              <w:t xml:space="preserve">  </w:t>
            </w:r>
            <w:r>
              <w:rPr>
                <w:rFonts w:hint="eastAsia"/>
                <w:b/>
                <w:color w:val="auto"/>
                <w:sz w:val="24"/>
                <w:highlight w:val="none"/>
              </w:rPr>
              <w:t>项目施工过程工艺流程及产排污节点图</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5.1.2 营运期工艺流程及产排污节点</w:t>
            </w:r>
          </w:p>
          <w:p>
            <w:pPr>
              <w:spacing w:line="360" w:lineRule="auto"/>
              <w:ind w:firstLine="480" w:firstLineChars="200"/>
              <w:rPr>
                <w:color w:val="auto"/>
                <w:sz w:val="24"/>
                <w:highlight w:val="none"/>
              </w:rPr>
            </w:pPr>
            <w:r>
              <w:rPr>
                <w:rFonts w:hint="eastAsia"/>
                <w:color w:val="auto"/>
                <w:sz w:val="24"/>
                <w:highlight w:val="none"/>
              </w:rPr>
              <w:t>本项目营运期拟生产滚子摇臂、可变滚子摇臂、悬架轴承、轮毂轴承3代、张紧器、热管理模块6类产品，各产品主要生产工艺流程及产排污节点分述如下：</w:t>
            </w:r>
          </w:p>
          <w:p>
            <w:pPr>
              <w:spacing w:line="360" w:lineRule="auto"/>
              <w:ind w:firstLine="480" w:firstLineChars="200"/>
              <w:rPr>
                <w:color w:val="auto"/>
                <w:sz w:val="24"/>
                <w:highlight w:val="none"/>
              </w:rPr>
            </w:pPr>
            <w:r>
              <w:rPr>
                <w:rFonts w:hint="eastAsia"/>
                <w:color w:val="auto"/>
                <w:sz w:val="24"/>
                <w:highlight w:val="none"/>
              </w:rPr>
              <w:t>（1）滚子摇臂</w:t>
            </w:r>
          </w:p>
          <w:p>
            <w:pPr>
              <w:spacing w:line="360" w:lineRule="auto"/>
              <w:ind w:firstLine="480" w:firstLineChars="200"/>
              <w:rPr>
                <w:color w:val="auto"/>
                <w:sz w:val="24"/>
                <w:highlight w:val="none"/>
              </w:rPr>
            </w:pPr>
            <w:r>
              <w:rPr>
                <w:rFonts w:hint="eastAsia"/>
                <w:color w:val="auto"/>
                <w:sz w:val="24"/>
                <w:highlight w:val="none"/>
              </w:rPr>
              <w:t>滚子摇臂生产主要包括冲压、车削、抛光、清洗、热处理、磨削、装配等工艺，下图5-2为滚子摇臂主要生产工艺及产排污节点图。</w:t>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20" w:firstLineChars="200"/>
              <w:jc w:val="center"/>
              <w:rPr>
                <w:color w:val="auto"/>
                <w:highlight w:val="none"/>
              </w:rPr>
            </w:pPr>
            <w:r>
              <w:rPr>
                <w:color w:val="auto"/>
                <w:highlight w:val="none"/>
              </w:rPr>
              <w:object>
                <v:shape id="_x0000_i1026" o:spt="75" type="#_x0000_t75" style="height:528.75pt;width:423.75pt;" o:ole="t" filled="f" o:preferrelative="t" stroked="f" coordsize="21600,21600">
                  <v:path/>
                  <v:fill on="f" focussize="0,0"/>
                  <v:stroke on="f" joinstyle="miter"/>
                  <v:imagedata r:id="rId36" o:title=""/>
                  <o:lock v:ext="edit" aspectratio="t"/>
                  <w10:wrap type="none"/>
                  <w10:anchorlock/>
                </v:shape>
                <o:OLEObject Type="Embed" ProgID="Visio.Drawing.11" ShapeID="_x0000_i1026" DrawAspect="Content" ObjectID="_1468075726" r:id="rId35">
                  <o:LockedField>false</o:LockedField>
                </o:OLEObject>
              </w:object>
            </w:r>
          </w:p>
          <w:p>
            <w:pPr>
              <w:spacing w:line="360" w:lineRule="auto"/>
              <w:ind w:firstLine="482" w:firstLineChars="200"/>
              <w:jc w:val="center"/>
              <w:rPr>
                <w:b/>
                <w:color w:val="auto"/>
                <w:sz w:val="24"/>
                <w:highlight w:val="none"/>
              </w:rPr>
            </w:pPr>
            <w:r>
              <w:rPr>
                <w:rFonts w:hint="eastAsia"/>
                <w:b/>
                <w:color w:val="auto"/>
                <w:sz w:val="24"/>
                <w:highlight w:val="none"/>
              </w:rPr>
              <w:t>图5-2  滚子摇臂主要生产工艺及产排污节点图</w:t>
            </w:r>
          </w:p>
          <w:p>
            <w:pPr>
              <w:spacing w:line="360" w:lineRule="auto"/>
              <w:ind w:firstLine="480" w:firstLineChars="200"/>
              <w:rPr>
                <w:color w:val="auto"/>
                <w:sz w:val="24"/>
                <w:highlight w:val="none"/>
              </w:rPr>
            </w:pPr>
            <w:r>
              <w:rPr>
                <w:rFonts w:hint="eastAsia"/>
                <w:color w:val="auto"/>
                <w:sz w:val="24"/>
                <w:highlight w:val="none"/>
              </w:rPr>
              <w:t>该类产品生产主要污染工序及污染物分析如下：</w:t>
            </w:r>
          </w:p>
          <w:p>
            <w:pPr>
              <w:spacing w:line="360" w:lineRule="auto"/>
              <w:ind w:firstLine="480" w:firstLineChars="200"/>
              <w:rPr>
                <w:color w:val="auto"/>
                <w:sz w:val="24"/>
                <w:highlight w:val="none"/>
              </w:rPr>
            </w:pPr>
            <w:r>
              <w:rPr>
                <w:rFonts w:hint="eastAsia"/>
                <w:color w:val="auto"/>
                <w:sz w:val="24"/>
                <w:highlight w:val="none"/>
              </w:rPr>
              <w:t>①噪声：包括冲压、车削、抛光、热处理、磨削、装配等设备运行噪声（N1）。</w:t>
            </w:r>
          </w:p>
          <w:p>
            <w:pPr>
              <w:spacing w:line="360" w:lineRule="auto"/>
              <w:ind w:firstLine="480" w:firstLineChars="200"/>
              <w:rPr>
                <w:color w:val="auto"/>
                <w:sz w:val="24"/>
                <w:highlight w:val="none"/>
              </w:rPr>
            </w:pPr>
            <w:r>
              <w:rPr>
                <w:rFonts w:hint="eastAsia"/>
                <w:color w:val="auto"/>
                <w:sz w:val="24"/>
                <w:highlight w:val="none"/>
              </w:rPr>
              <w:t>②固体废弃物：包括冲压、车削、抛光、磨削作业产生的边角废料（S1），以及质检过程中产生的残次品（S2）。此外，还有设备定期更换的废乳化液（S4），各类废油脂（S5），以及清洗废液（S6）。</w:t>
            </w:r>
          </w:p>
          <w:p>
            <w:pPr>
              <w:spacing w:line="360" w:lineRule="auto"/>
              <w:ind w:firstLine="480" w:firstLineChars="200"/>
              <w:rPr>
                <w:color w:val="auto"/>
                <w:sz w:val="24"/>
                <w:highlight w:val="none"/>
              </w:rPr>
            </w:pPr>
            <w:r>
              <w:rPr>
                <w:rFonts w:hint="eastAsia"/>
                <w:color w:val="auto"/>
                <w:sz w:val="24"/>
                <w:highlight w:val="none"/>
              </w:rPr>
              <w:t>③废水：主要为抛光工序定期排放的抛光废水（W1）。</w:t>
            </w:r>
          </w:p>
          <w:p>
            <w:pPr>
              <w:spacing w:line="360" w:lineRule="auto"/>
              <w:ind w:firstLine="480" w:firstLineChars="200"/>
              <w:rPr>
                <w:color w:val="auto"/>
                <w:sz w:val="24"/>
                <w:highlight w:val="none"/>
              </w:rPr>
            </w:pPr>
            <w:r>
              <w:rPr>
                <w:rFonts w:hint="eastAsia"/>
                <w:color w:val="auto"/>
                <w:sz w:val="24"/>
                <w:highlight w:val="none"/>
              </w:rPr>
              <w:t>③废气：包括清洗废气（A1）、热处理废气（A2）。</w:t>
            </w:r>
          </w:p>
          <w:p>
            <w:pPr>
              <w:spacing w:line="360" w:lineRule="auto"/>
              <w:ind w:firstLine="480" w:firstLineChars="200"/>
              <w:rPr>
                <w:color w:val="auto"/>
                <w:sz w:val="24"/>
                <w:highlight w:val="none"/>
              </w:rPr>
            </w:pPr>
            <w:r>
              <w:rPr>
                <w:rFonts w:hint="eastAsia"/>
                <w:color w:val="auto"/>
                <w:sz w:val="24"/>
                <w:highlight w:val="none"/>
              </w:rPr>
              <w:t>主要工艺环节说明如下：</w:t>
            </w:r>
          </w:p>
          <w:p>
            <w:pPr>
              <w:spacing w:line="360" w:lineRule="auto"/>
              <w:ind w:firstLine="480" w:firstLineChars="200"/>
              <w:rPr>
                <w:color w:val="auto"/>
                <w:sz w:val="24"/>
                <w:highlight w:val="none"/>
              </w:rPr>
            </w:pPr>
            <w:r>
              <w:rPr>
                <w:rFonts w:hint="eastAsia"/>
                <w:color w:val="auto"/>
                <w:sz w:val="24"/>
                <w:highlight w:val="none"/>
              </w:rPr>
              <w:t>①抛光：</w:t>
            </w:r>
          </w:p>
          <w:p>
            <w:pPr>
              <w:spacing w:line="360" w:lineRule="auto"/>
              <w:ind w:firstLine="480" w:firstLineChars="200"/>
              <w:rPr>
                <w:color w:val="auto"/>
                <w:sz w:val="24"/>
                <w:highlight w:val="none"/>
              </w:rPr>
            </w:pPr>
            <w:r>
              <w:rPr>
                <w:rFonts w:hint="eastAsia"/>
                <w:color w:val="auto"/>
                <w:sz w:val="24"/>
                <w:highlight w:val="none"/>
              </w:rPr>
              <w:t>本项目使用水溶性抛光喷砂液，主要由研磨材料（金刚石微粉）、水组成。抛光时加纯净水稀释抛光液后，利用喷嘴将抛光液喷到工件表面，利用工件与抛光器具的相对运动进行抛光。抛光废液定期排放，过滤回收研磨材料后，剩余的废水进入厂区污水处理系统。</w:t>
            </w:r>
          </w:p>
          <w:p>
            <w:pPr>
              <w:spacing w:line="360" w:lineRule="auto"/>
              <w:ind w:firstLine="480" w:firstLineChars="200"/>
              <w:rPr>
                <w:color w:val="auto"/>
                <w:sz w:val="24"/>
                <w:highlight w:val="none"/>
              </w:rPr>
            </w:pPr>
            <w:r>
              <w:rPr>
                <w:rFonts w:hint="eastAsia"/>
                <w:color w:val="auto"/>
                <w:sz w:val="24"/>
                <w:highlight w:val="none"/>
              </w:rPr>
              <w:t>②清洗：</w:t>
            </w:r>
          </w:p>
          <w:p>
            <w:pPr>
              <w:spacing w:line="360" w:lineRule="auto"/>
              <w:ind w:firstLine="480" w:firstLineChars="200"/>
              <w:rPr>
                <w:color w:val="auto"/>
                <w:sz w:val="24"/>
                <w:highlight w:val="none"/>
              </w:rPr>
            </w:pPr>
            <w:r>
              <w:rPr>
                <w:rFonts w:hint="eastAsia"/>
                <w:color w:val="auto"/>
                <w:sz w:val="24"/>
                <w:highlight w:val="none"/>
              </w:rPr>
              <w:t>本项目清洗分为水性清洗剂清洗和油性清洗剂清洗。</w:t>
            </w:r>
          </w:p>
          <w:p>
            <w:pPr>
              <w:spacing w:line="360" w:lineRule="auto"/>
              <w:ind w:firstLine="480" w:firstLineChars="200"/>
              <w:rPr>
                <w:color w:val="auto"/>
                <w:sz w:val="24"/>
                <w:highlight w:val="none"/>
              </w:rPr>
            </w:pPr>
            <w:r>
              <w:rPr>
                <w:rFonts w:hint="eastAsia"/>
                <w:color w:val="auto"/>
                <w:sz w:val="24"/>
                <w:highlight w:val="none"/>
              </w:rPr>
              <w:t>水性清洗剂为硝酸溶液（浓度68%），清洗工件表面时产生清洗废气，其主要污染物为HNO</w:t>
            </w:r>
            <w:r>
              <w:rPr>
                <w:rFonts w:hint="eastAsia"/>
                <w:color w:val="auto"/>
                <w:sz w:val="24"/>
                <w:highlight w:val="none"/>
                <w:vertAlign w:val="subscript"/>
              </w:rPr>
              <w:t>3</w:t>
            </w:r>
            <w:r>
              <w:rPr>
                <w:rFonts w:hint="eastAsia"/>
                <w:color w:val="auto"/>
                <w:sz w:val="24"/>
                <w:highlight w:val="none"/>
              </w:rPr>
              <w:t>酸雾（HNO</w:t>
            </w:r>
            <w:r>
              <w:rPr>
                <w:rFonts w:hint="eastAsia"/>
                <w:color w:val="auto"/>
                <w:sz w:val="24"/>
                <w:highlight w:val="none"/>
                <w:vertAlign w:val="subscript"/>
              </w:rPr>
              <w:t>3</w:t>
            </w:r>
            <w:r>
              <w:rPr>
                <w:rFonts w:hint="eastAsia"/>
                <w:color w:val="auto"/>
                <w:sz w:val="24"/>
                <w:highlight w:val="none"/>
              </w:rPr>
              <w:t>分解产生的NO</w:t>
            </w:r>
            <w:r>
              <w:rPr>
                <w:rFonts w:hint="eastAsia"/>
                <w:color w:val="auto"/>
                <w:sz w:val="24"/>
                <w:highlight w:val="none"/>
                <w:vertAlign w:val="subscript"/>
              </w:rPr>
              <w:t>2</w:t>
            </w:r>
            <w:r>
              <w:rPr>
                <w:rFonts w:hint="eastAsia"/>
                <w:color w:val="auto"/>
                <w:sz w:val="24"/>
                <w:highlight w:val="none"/>
              </w:rPr>
              <w:t>一般溶于硝酸溶液）。油性清洗剂主要成分为轻质石油，清洗工件产生的清洗废气主要污染物为挥发性有机化合物。项目清洗剂由管道自动补充，加料时清洗废气很少。项目清洗工件产生的清洗废气经15m排气筒（1#）排放。</w:t>
            </w:r>
          </w:p>
          <w:p>
            <w:pPr>
              <w:spacing w:line="360" w:lineRule="auto"/>
              <w:ind w:firstLine="480" w:firstLineChars="200"/>
              <w:rPr>
                <w:color w:val="auto"/>
                <w:sz w:val="24"/>
                <w:highlight w:val="none"/>
              </w:rPr>
            </w:pPr>
            <w:r>
              <w:rPr>
                <w:rFonts w:hint="eastAsia"/>
                <w:color w:val="auto"/>
                <w:sz w:val="24"/>
                <w:highlight w:val="none"/>
              </w:rPr>
              <w:t>③热处理：</w:t>
            </w:r>
          </w:p>
          <w:p>
            <w:pPr>
              <w:spacing w:line="360" w:lineRule="auto"/>
              <w:ind w:firstLine="480" w:firstLineChars="200"/>
              <w:rPr>
                <w:color w:val="auto"/>
                <w:sz w:val="24"/>
                <w:highlight w:val="none"/>
              </w:rPr>
            </w:pPr>
            <w:r>
              <w:rPr>
                <w:rFonts w:hint="eastAsia"/>
                <w:color w:val="auto"/>
                <w:sz w:val="24"/>
                <w:highlight w:val="none"/>
              </w:rPr>
              <w:t>本项目热处理为气体碳氮共渗，使工件表面形成一定厚度的碳氮共渗层。工件热处理作业时有两个设备将产生热处理废气，分别为高温加热炉、淬火炉。</w:t>
            </w:r>
          </w:p>
          <w:p>
            <w:pPr>
              <w:spacing w:line="360" w:lineRule="auto"/>
              <w:ind w:firstLine="480" w:firstLineChars="200"/>
              <w:rPr>
                <w:color w:val="auto"/>
                <w:sz w:val="24"/>
                <w:highlight w:val="none"/>
              </w:rPr>
            </w:pPr>
            <w:r>
              <w:rPr>
                <w:rFonts w:hint="eastAsia"/>
                <w:color w:val="auto"/>
                <w:sz w:val="24"/>
                <w:highlight w:val="none"/>
              </w:rPr>
              <w:t>碳氮共渗高温加热炉工作原理如下：</w:t>
            </w:r>
          </w:p>
          <w:p>
            <w:pPr>
              <w:spacing w:line="360" w:lineRule="auto"/>
              <w:ind w:firstLine="480" w:firstLineChars="200"/>
              <w:rPr>
                <w:color w:val="auto"/>
                <w:sz w:val="24"/>
                <w:highlight w:val="none"/>
              </w:rPr>
            </w:pPr>
            <w:r>
              <w:rPr>
                <w:rFonts w:hint="eastAsia"/>
                <w:color w:val="auto"/>
                <w:sz w:val="24"/>
                <w:highlight w:val="none"/>
              </w:rPr>
              <w:t>高温加热炉以炉内电加热辐射管供热。到达碳氮共渗温度前，一直向炉内供给甲醇和氮气，主要反应为：</w:t>
            </w:r>
          </w:p>
          <w:p>
            <w:pPr>
              <w:spacing w:line="360" w:lineRule="auto"/>
              <w:ind w:firstLine="480" w:firstLineChars="200"/>
              <w:jc w:val="center"/>
              <w:rPr>
                <w:color w:val="auto"/>
                <w:sz w:val="24"/>
                <w:highlight w:val="none"/>
              </w:rPr>
            </w:pPr>
            <w:r>
              <w:rPr>
                <w:rFonts w:hint="eastAsia"/>
                <w:color w:val="auto"/>
                <w:sz w:val="24"/>
                <w:highlight w:val="none"/>
              </w:rPr>
              <w:t>2CH</w:t>
            </w:r>
            <w:r>
              <w:rPr>
                <w:rFonts w:hint="eastAsia"/>
                <w:color w:val="auto"/>
                <w:sz w:val="24"/>
                <w:highlight w:val="none"/>
                <w:vertAlign w:val="subscript"/>
              </w:rPr>
              <w:t>3</w:t>
            </w:r>
            <w:r>
              <w:rPr>
                <w:rFonts w:hint="eastAsia"/>
                <w:color w:val="auto"/>
                <w:sz w:val="24"/>
                <w:highlight w:val="none"/>
              </w:rPr>
              <w:t>OH+3O</w:t>
            </w:r>
            <w:r>
              <w:rPr>
                <w:rFonts w:hint="eastAsia"/>
                <w:color w:val="auto"/>
                <w:sz w:val="24"/>
                <w:highlight w:val="none"/>
                <w:vertAlign w:val="subscript"/>
              </w:rPr>
              <w:t>2</w:t>
            </w:r>
            <w:r>
              <w:rPr>
                <w:rFonts w:hint="eastAsia"/>
                <w:color w:val="auto"/>
                <w:sz w:val="24"/>
                <w:highlight w:val="none"/>
              </w:rPr>
              <w:t>→2CO</w:t>
            </w:r>
            <w:r>
              <w:rPr>
                <w:rFonts w:hint="eastAsia"/>
                <w:color w:val="auto"/>
                <w:sz w:val="24"/>
                <w:highlight w:val="none"/>
                <w:vertAlign w:val="subscript"/>
              </w:rPr>
              <w:t>2</w:t>
            </w:r>
            <w:r>
              <w:rPr>
                <w:rFonts w:hint="eastAsia"/>
                <w:color w:val="auto"/>
                <w:sz w:val="24"/>
                <w:highlight w:val="none"/>
              </w:rPr>
              <w:t>+4H</w:t>
            </w:r>
            <w:r>
              <w:rPr>
                <w:rFonts w:hint="eastAsia"/>
                <w:color w:val="auto"/>
                <w:sz w:val="24"/>
                <w:highlight w:val="none"/>
                <w:vertAlign w:val="subscript"/>
              </w:rPr>
              <w:t>2</w:t>
            </w:r>
            <w:r>
              <w:rPr>
                <w:rFonts w:hint="eastAsia"/>
                <w:color w:val="auto"/>
                <w:sz w:val="24"/>
                <w:highlight w:val="none"/>
              </w:rPr>
              <w:t>O</w:t>
            </w:r>
          </w:p>
          <w:p>
            <w:pPr>
              <w:spacing w:line="360" w:lineRule="auto"/>
              <w:ind w:firstLine="480" w:firstLineChars="200"/>
              <w:jc w:val="center"/>
              <w:rPr>
                <w:color w:val="auto"/>
                <w:sz w:val="24"/>
                <w:highlight w:val="none"/>
              </w:rPr>
            </w:pPr>
            <w:r>
              <w:rPr>
                <w:rFonts w:hint="eastAsia"/>
                <w:color w:val="auto"/>
                <w:sz w:val="24"/>
                <w:highlight w:val="none"/>
              </w:rPr>
              <w:t>CH</w:t>
            </w:r>
            <w:r>
              <w:rPr>
                <w:rFonts w:hint="eastAsia"/>
                <w:color w:val="auto"/>
                <w:sz w:val="24"/>
                <w:highlight w:val="none"/>
                <w:vertAlign w:val="subscript"/>
              </w:rPr>
              <w:t>3</w:t>
            </w:r>
            <w:r>
              <w:rPr>
                <w:rFonts w:hint="eastAsia"/>
                <w:color w:val="auto"/>
                <w:sz w:val="24"/>
                <w:highlight w:val="none"/>
              </w:rPr>
              <w:t>OH→CO+2H</w:t>
            </w:r>
            <w:r>
              <w:rPr>
                <w:rFonts w:hint="eastAsia"/>
                <w:color w:val="auto"/>
                <w:sz w:val="24"/>
                <w:highlight w:val="none"/>
                <w:vertAlign w:val="subscript"/>
              </w:rPr>
              <w:t>2</w:t>
            </w:r>
          </w:p>
          <w:p>
            <w:pPr>
              <w:spacing w:line="360" w:lineRule="auto"/>
              <w:ind w:firstLine="480" w:firstLineChars="200"/>
              <w:rPr>
                <w:color w:val="auto"/>
                <w:sz w:val="24"/>
                <w:highlight w:val="none"/>
              </w:rPr>
            </w:pPr>
            <w:r>
              <w:rPr>
                <w:rFonts w:hint="eastAsia"/>
                <w:color w:val="auto"/>
                <w:sz w:val="24"/>
                <w:highlight w:val="none"/>
              </w:rPr>
              <w:t>此外，该阶段主要副反应为：2CO+O</w:t>
            </w:r>
            <w:r>
              <w:rPr>
                <w:rFonts w:hint="eastAsia"/>
                <w:color w:val="auto"/>
                <w:sz w:val="24"/>
                <w:highlight w:val="none"/>
                <w:vertAlign w:val="subscript"/>
              </w:rPr>
              <w:t>2</w:t>
            </w:r>
            <w:r>
              <w:rPr>
                <w:rFonts w:hint="eastAsia"/>
                <w:color w:val="auto"/>
                <w:sz w:val="24"/>
                <w:highlight w:val="none"/>
              </w:rPr>
              <w:t>→2CO</w:t>
            </w:r>
            <w:r>
              <w:rPr>
                <w:rFonts w:hint="eastAsia"/>
                <w:color w:val="auto"/>
                <w:sz w:val="24"/>
                <w:highlight w:val="none"/>
                <w:vertAlign w:val="subscript"/>
              </w:rPr>
              <w:t>2</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到达碳氮共渗温度后，以甲醇、丙烷、氨气作为介质，在920℃左右发生碳氮共渗，主要反应为：</w:t>
            </w:r>
          </w:p>
          <w:p>
            <w:pPr>
              <w:spacing w:line="360" w:lineRule="auto"/>
              <w:ind w:firstLine="480" w:firstLineChars="200"/>
              <w:jc w:val="center"/>
              <w:rPr>
                <w:color w:val="auto"/>
                <w:sz w:val="24"/>
                <w:highlight w:val="none"/>
              </w:rPr>
            </w:pPr>
            <w:r>
              <w:rPr>
                <w:rFonts w:hint="eastAsia"/>
                <w:color w:val="auto"/>
                <w:sz w:val="24"/>
                <w:highlight w:val="none"/>
              </w:rPr>
              <w:t>CH</w:t>
            </w:r>
            <w:r>
              <w:rPr>
                <w:rFonts w:hint="eastAsia"/>
                <w:color w:val="auto"/>
                <w:sz w:val="24"/>
                <w:highlight w:val="none"/>
                <w:vertAlign w:val="subscript"/>
              </w:rPr>
              <w:t>3</w:t>
            </w:r>
            <w:r>
              <w:rPr>
                <w:rFonts w:hint="eastAsia"/>
                <w:color w:val="auto"/>
                <w:sz w:val="24"/>
                <w:highlight w:val="none"/>
              </w:rPr>
              <w:t>OH→CO+2H</w:t>
            </w:r>
            <w:r>
              <w:rPr>
                <w:rFonts w:hint="eastAsia"/>
                <w:color w:val="auto"/>
                <w:sz w:val="24"/>
                <w:highlight w:val="none"/>
                <w:vertAlign w:val="subscript"/>
              </w:rPr>
              <w:t>2</w:t>
            </w:r>
          </w:p>
          <w:p>
            <w:pPr>
              <w:spacing w:line="360" w:lineRule="auto"/>
              <w:ind w:firstLine="480" w:firstLineChars="200"/>
              <w:jc w:val="center"/>
              <w:rPr>
                <w:color w:val="auto"/>
                <w:sz w:val="24"/>
                <w:highlight w:val="none"/>
              </w:rPr>
            </w:pPr>
            <w:r>
              <w:rPr>
                <w:rFonts w:hint="eastAsia"/>
                <w:color w:val="auto"/>
                <w:sz w:val="24"/>
                <w:highlight w:val="none"/>
              </w:rPr>
              <w:t>2CO→[C]+CO</w:t>
            </w:r>
            <w:r>
              <w:rPr>
                <w:rFonts w:hint="eastAsia"/>
                <w:color w:val="auto"/>
                <w:sz w:val="24"/>
                <w:highlight w:val="none"/>
                <w:vertAlign w:val="subscript"/>
              </w:rPr>
              <w:t>2</w:t>
            </w:r>
          </w:p>
          <w:p>
            <w:pPr>
              <w:spacing w:line="360" w:lineRule="auto"/>
              <w:ind w:firstLine="480" w:firstLineChars="200"/>
              <w:jc w:val="center"/>
              <w:rPr>
                <w:color w:val="auto"/>
                <w:sz w:val="24"/>
                <w:highlight w:val="none"/>
              </w:rPr>
            </w:pPr>
            <w:r>
              <w:rPr>
                <w:rFonts w:hint="eastAsia"/>
                <w:color w:val="auto"/>
                <w:sz w:val="24"/>
                <w:highlight w:val="none"/>
              </w:rPr>
              <w:t>2NH</w:t>
            </w:r>
            <w:r>
              <w:rPr>
                <w:rFonts w:hint="eastAsia"/>
                <w:color w:val="auto"/>
                <w:sz w:val="24"/>
                <w:highlight w:val="none"/>
                <w:vertAlign w:val="subscript"/>
              </w:rPr>
              <w:t>3</w:t>
            </w:r>
            <w:r>
              <w:rPr>
                <w:rFonts w:hint="eastAsia"/>
                <w:color w:val="auto"/>
                <w:sz w:val="24"/>
                <w:highlight w:val="none"/>
              </w:rPr>
              <w:t>→2[N]+3H</w:t>
            </w:r>
            <w:r>
              <w:rPr>
                <w:rFonts w:hint="eastAsia"/>
                <w:color w:val="auto"/>
                <w:sz w:val="24"/>
                <w:highlight w:val="none"/>
                <w:vertAlign w:val="subscript"/>
              </w:rPr>
              <w:t>2</w:t>
            </w:r>
          </w:p>
          <w:p>
            <w:pPr>
              <w:spacing w:line="360" w:lineRule="auto"/>
              <w:ind w:firstLine="480" w:firstLineChars="200"/>
              <w:jc w:val="center"/>
              <w:rPr>
                <w:color w:val="auto"/>
                <w:sz w:val="24"/>
                <w:highlight w:val="none"/>
              </w:rPr>
            </w:pPr>
            <w:r>
              <w:rPr>
                <w:rFonts w:hint="eastAsia"/>
                <w:color w:val="auto"/>
                <w:sz w:val="24"/>
                <w:highlight w:val="none"/>
              </w:rPr>
              <w:t>2[N]→N</w:t>
            </w:r>
            <w:r>
              <w:rPr>
                <w:rFonts w:hint="eastAsia"/>
                <w:color w:val="auto"/>
                <w:sz w:val="24"/>
                <w:highlight w:val="none"/>
                <w:vertAlign w:val="subscript"/>
              </w:rPr>
              <w:t>2</w:t>
            </w:r>
          </w:p>
          <w:p>
            <w:pPr>
              <w:spacing w:line="360" w:lineRule="auto"/>
              <w:ind w:firstLine="480" w:firstLineChars="200"/>
              <w:jc w:val="center"/>
              <w:rPr>
                <w:color w:val="auto"/>
                <w:sz w:val="24"/>
                <w:highlight w:val="none"/>
              </w:rPr>
            </w:pPr>
            <w:r>
              <w:rPr>
                <w:rFonts w:hint="eastAsia"/>
                <w:color w:val="auto"/>
                <w:sz w:val="24"/>
                <w:highlight w:val="none"/>
              </w:rPr>
              <w:t>C</w:t>
            </w:r>
            <w:r>
              <w:rPr>
                <w:rFonts w:hint="eastAsia"/>
                <w:color w:val="auto"/>
                <w:sz w:val="24"/>
                <w:highlight w:val="none"/>
                <w:vertAlign w:val="subscript"/>
              </w:rPr>
              <w:t>3</w:t>
            </w:r>
            <w:r>
              <w:rPr>
                <w:rFonts w:hint="eastAsia"/>
                <w:color w:val="auto"/>
                <w:sz w:val="24"/>
                <w:highlight w:val="none"/>
              </w:rPr>
              <w:t>H</w:t>
            </w:r>
            <w:r>
              <w:rPr>
                <w:rFonts w:hint="eastAsia"/>
                <w:color w:val="auto"/>
                <w:sz w:val="24"/>
                <w:highlight w:val="none"/>
                <w:vertAlign w:val="subscript"/>
              </w:rPr>
              <w:t>8</w:t>
            </w:r>
            <w:r>
              <w:rPr>
                <w:rFonts w:hint="eastAsia"/>
                <w:color w:val="auto"/>
                <w:sz w:val="24"/>
                <w:highlight w:val="none"/>
              </w:rPr>
              <w:t>→3[C]+4H</w:t>
            </w:r>
            <w:r>
              <w:rPr>
                <w:rFonts w:hint="eastAsia"/>
                <w:color w:val="auto"/>
                <w:sz w:val="24"/>
                <w:highlight w:val="none"/>
                <w:vertAlign w:val="subscript"/>
              </w:rPr>
              <w:t>2</w:t>
            </w:r>
          </w:p>
          <w:p>
            <w:pPr>
              <w:spacing w:line="360" w:lineRule="auto"/>
              <w:ind w:firstLine="480" w:firstLineChars="200"/>
              <w:rPr>
                <w:color w:val="auto"/>
                <w:sz w:val="24"/>
                <w:highlight w:val="none"/>
              </w:rPr>
            </w:pPr>
            <w:r>
              <w:rPr>
                <w:rFonts w:hint="eastAsia"/>
                <w:color w:val="auto"/>
                <w:sz w:val="24"/>
                <w:highlight w:val="none"/>
              </w:rPr>
              <w:t>此外，该阶段主要副反应为：</w:t>
            </w:r>
          </w:p>
          <w:p>
            <w:pPr>
              <w:spacing w:line="360" w:lineRule="auto"/>
              <w:ind w:firstLine="480" w:firstLineChars="200"/>
              <w:jc w:val="center"/>
              <w:rPr>
                <w:color w:val="auto"/>
                <w:sz w:val="24"/>
                <w:highlight w:val="none"/>
              </w:rPr>
            </w:pPr>
            <w:r>
              <w:rPr>
                <w:rFonts w:hint="eastAsia"/>
                <w:color w:val="auto"/>
                <w:sz w:val="24"/>
                <w:highlight w:val="none"/>
              </w:rPr>
              <w:t>NH</w:t>
            </w:r>
            <w:r>
              <w:rPr>
                <w:rFonts w:hint="eastAsia"/>
                <w:color w:val="auto"/>
                <w:sz w:val="24"/>
                <w:highlight w:val="none"/>
                <w:vertAlign w:val="subscript"/>
              </w:rPr>
              <w:t>3</w:t>
            </w:r>
            <w:r>
              <w:rPr>
                <w:rFonts w:hint="eastAsia"/>
                <w:color w:val="auto"/>
                <w:sz w:val="24"/>
                <w:highlight w:val="none"/>
              </w:rPr>
              <w:t>+CO→HCN+H</w:t>
            </w:r>
            <w:r>
              <w:rPr>
                <w:rFonts w:hint="eastAsia"/>
                <w:color w:val="auto"/>
                <w:sz w:val="24"/>
                <w:highlight w:val="none"/>
                <w:vertAlign w:val="subscript"/>
              </w:rPr>
              <w:t>2</w:t>
            </w:r>
            <w:r>
              <w:rPr>
                <w:rFonts w:hint="eastAsia"/>
                <w:color w:val="auto"/>
                <w:sz w:val="24"/>
                <w:highlight w:val="none"/>
              </w:rPr>
              <w:t>O</w:t>
            </w:r>
          </w:p>
          <w:p>
            <w:pPr>
              <w:spacing w:line="360" w:lineRule="auto"/>
              <w:ind w:firstLine="480" w:firstLineChars="200"/>
              <w:jc w:val="center"/>
              <w:rPr>
                <w:color w:val="auto"/>
                <w:sz w:val="24"/>
                <w:highlight w:val="none"/>
              </w:rPr>
            </w:pPr>
            <w:r>
              <w:rPr>
                <w:rFonts w:hint="eastAsia"/>
                <w:color w:val="auto"/>
                <w:sz w:val="24"/>
                <w:highlight w:val="none"/>
              </w:rPr>
              <w:t>3NH</w:t>
            </w:r>
            <w:r>
              <w:rPr>
                <w:rFonts w:hint="eastAsia"/>
                <w:color w:val="auto"/>
                <w:sz w:val="24"/>
                <w:highlight w:val="none"/>
                <w:vertAlign w:val="subscript"/>
              </w:rPr>
              <w:t>3</w:t>
            </w:r>
            <w:r>
              <w:rPr>
                <w:rFonts w:hint="eastAsia"/>
                <w:color w:val="auto"/>
                <w:sz w:val="24"/>
                <w:highlight w:val="none"/>
              </w:rPr>
              <w:t>+C</w:t>
            </w:r>
            <w:r>
              <w:rPr>
                <w:rFonts w:hint="eastAsia"/>
                <w:color w:val="auto"/>
                <w:sz w:val="24"/>
                <w:highlight w:val="none"/>
                <w:vertAlign w:val="subscript"/>
              </w:rPr>
              <w:t>3</w:t>
            </w:r>
            <w:r>
              <w:rPr>
                <w:rFonts w:hint="eastAsia"/>
                <w:color w:val="auto"/>
                <w:sz w:val="24"/>
                <w:highlight w:val="none"/>
              </w:rPr>
              <w:t>H</w:t>
            </w:r>
            <w:r>
              <w:rPr>
                <w:rFonts w:hint="eastAsia"/>
                <w:color w:val="auto"/>
                <w:sz w:val="24"/>
                <w:highlight w:val="none"/>
                <w:vertAlign w:val="subscript"/>
              </w:rPr>
              <w:t>8</w:t>
            </w:r>
            <w:r>
              <w:rPr>
                <w:rFonts w:hint="eastAsia"/>
                <w:color w:val="auto"/>
                <w:sz w:val="24"/>
                <w:highlight w:val="none"/>
              </w:rPr>
              <w:t>→3HCN+7H</w:t>
            </w:r>
            <w:r>
              <w:rPr>
                <w:rFonts w:hint="eastAsia"/>
                <w:color w:val="auto"/>
                <w:sz w:val="24"/>
                <w:highlight w:val="none"/>
                <w:vertAlign w:val="subscript"/>
              </w:rPr>
              <w:t>2</w:t>
            </w:r>
          </w:p>
          <w:p>
            <w:pPr>
              <w:spacing w:line="360" w:lineRule="auto"/>
              <w:ind w:firstLine="480" w:firstLineChars="200"/>
              <w:jc w:val="center"/>
              <w:rPr>
                <w:color w:val="auto"/>
                <w:sz w:val="24"/>
                <w:highlight w:val="none"/>
              </w:rPr>
            </w:pPr>
            <w:r>
              <w:rPr>
                <w:rFonts w:hint="eastAsia"/>
                <w:color w:val="auto"/>
                <w:sz w:val="24"/>
                <w:highlight w:val="none"/>
              </w:rPr>
              <w:t>2HCN→H</w:t>
            </w:r>
            <w:r>
              <w:rPr>
                <w:rFonts w:hint="eastAsia"/>
                <w:color w:val="auto"/>
                <w:sz w:val="24"/>
                <w:highlight w:val="none"/>
                <w:vertAlign w:val="subscript"/>
              </w:rPr>
              <w:t>2</w:t>
            </w:r>
            <w:r>
              <w:rPr>
                <w:rFonts w:hint="eastAsia"/>
                <w:color w:val="auto"/>
                <w:sz w:val="24"/>
                <w:highlight w:val="none"/>
              </w:rPr>
              <w:t>+2[C]+2[N]</w:t>
            </w:r>
          </w:p>
          <w:p>
            <w:pPr>
              <w:spacing w:line="360" w:lineRule="auto"/>
              <w:ind w:firstLine="480" w:firstLineChars="200"/>
              <w:rPr>
                <w:color w:val="auto"/>
                <w:sz w:val="24"/>
                <w:highlight w:val="none"/>
              </w:rPr>
            </w:pPr>
            <w:r>
              <w:rPr>
                <w:rFonts w:hint="eastAsia"/>
                <w:color w:val="auto"/>
                <w:sz w:val="24"/>
                <w:highlight w:val="none"/>
              </w:rPr>
              <w:t>淬火原理如下：</w:t>
            </w:r>
          </w:p>
          <w:p>
            <w:pPr>
              <w:spacing w:line="360" w:lineRule="auto"/>
              <w:ind w:firstLine="480" w:firstLineChars="200"/>
              <w:rPr>
                <w:color w:val="auto"/>
                <w:sz w:val="24"/>
                <w:highlight w:val="none"/>
              </w:rPr>
            </w:pPr>
            <w:r>
              <w:rPr>
                <w:rFonts w:hint="eastAsia"/>
                <w:color w:val="auto"/>
                <w:sz w:val="24"/>
                <w:highlight w:val="none"/>
              </w:rPr>
              <w:t>工件淬火时，在密闭状态下将工件直接淬入淬火油中冷却，淬火温度约200℃。淬火过程中部分淬火油挥发，形成淬火废气。</w:t>
            </w:r>
          </w:p>
          <w:p>
            <w:pPr>
              <w:spacing w:line="360" w:lineRule="auto"/>
              <w:ind w:firstLine="480" w:firstLineChars="200"/>
              <w:rPr>
                <w:color w:val="auto"/>
                <w:sz w:val="24"/>
                <w:highlight w:val="none"/>
              </w:rPr>
            </w:pPr>
            <w:r>
              <w:rPr>
                <w:rFonts w:hint="eastAsia"/>
                <w:color w:val="auto"/>
                <w:sz w:val="24"/>
                <w:highlight w:val="none"/>
              </w:rPr>
              <w:t>从上述描述可知，高温加热炉废气主要成分为碳氮共渗保护气及碳氮共渗副产物气体，包括甲醇、丙烷、氨气、氮气、一氧化碳、氢气、氰化氢等，该类废气通过废气管道设置的烧嘴燃烧处理后，拟经15m排气筒（2#）排放。淬火废气主要污染物为挥发的淬火油，经淬火油雾净化器处理后，与高温加热炉废气共用15m排气筒（2#）排放。高温加热炉废气经燃烧处理、淬火废气经油雾净化器处理后，排放的废气污染物以非甲烷总烃、氮氧化物计。</w:t>
            </w:r>
          </w:p>
          <w:p>
            <w:pPr>
              <w:spacing w:line="360" w:lineRule="auto"/>
              <w:ind w:firstLine="480" w:firstLineChars="200"/>
              <w:rPr>
                <w:color w:val="auto"/>
                <w:sz w:val="24"/>
                <w:highlight w:val="none"/>
              </w:rPr>
            </w:pPr>
            <w:r>
              <w:rPr>
                <w:rFonts w:hint="eastAsia"/>
                <w:color w:val="auto"/>
                <w:sz w:val="24"/>
                <w:highlight w:val="none"/>
              </w:rPr>
              <w:t>（2）可变滚子摇臂</w:t>
            </w:r>
          </w:p>
          <w:p>
            <w:pPr>
              <w:spacing w:line="360" w:lineRule="auto"/>
              <w:ind w:firstLine="480" w:firstLineChars="200"/>
              <w:rPr>
                <w:color w:val="auto"/>
                <w:sz w:val="24"/>
                <w:highlight w:val="none"/>
              </w:rPr>
            </w:pPr>
            <w:r>
              <w:rPr>
                <w:rFonts w:hint="eastAsia"/>
                <w:color w:val="auto"/>
                <w:sz w:val="24"/>
                <w:highlight w:val="none"/>
              </w:rPr>
              <w:t>可变滚子摇臂生产主要包括铣削、去毛刺、清洗、热处理、喷砂、抛光、装配等工艺，下图5-3为可变滚子摇臂主要生产工艺及产排污节点图。</w:t>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rPr>
                <w:color w:val="auto"/>
                <w:sz w:val="24"/>
                <w:highlight w:val="none"/>
              </w:rPr>
            </w:pPr>
          </w:p>
          <w:p>
            <w:pPr>
              <w:spacing w:line="360" w:lineRule="auto"/>
              <w:ind w:firstLine="480" w:firstLineChars="200"/>
              <w:rPr>
                <w:color w:val="auto"/>
                <w:sz w:val="24"/>
                <w:highlight w:val="none"/>
              </w:rPr>
            </w:pPr>
          </w:p>
          <w:p>
            <w:pPr>
              <w:spacing w:line="360" w:lineRule="auto"/>
              <w:ind w:firstLine="420" w:firstLineChars="200"/>
              <w:jc w:val="center"/>
              <w:rPr>
                <w:color w:val="auto"/>
                <w:sz w:val="24"/>
                <w:highlight w:val="none"/>
              </w:rPr>
            </w:pPr>
            <w:r>
              <w:rPr>
                <w:color w:val="auto"/>
                <w:highlight w:val="none"/>
              </w:rPr>
              <w:object>
                <v:shape id="_x0000_i1027" o:spt="75" type="#_x0000_t75" style="height:463.5pt;width:439.5pt;" o:ole="t" filled="f" o:preferrelative="t" stroked="f" coordsize="21600,21600">
                  <v:path/>
                  <v:fill on="f" focussize="0,0"/>
                  <v:stroke on="f" joinstyle="miter"/>
                  <v:imagedata r:id="rId38" o:title=""/>
                  <o:lock v:ext="edit" aspectratio="t"/>
                  <w10:wrap type="none"/>
                  <w10:anchorlock/>
                </v:shape>
                <o:OLEObject Type="Embed" ProgID="Visio.Drawing.11" ShapeID="_x0000_i1027" DrawAspect="Content" ObjectID="_1468075727" r:id="rId37">
                  <o:LockedField>false</o:LockedField>
                </o:OLEObject>
              </w:object>
            </w:r>
            <w:r>
              <w:rPr>
                <w:rFonts w:hint="eastAsia"/>
                <w:b/>
                <w:color w:val="auto"/>
                <w:sz w:val="24"/>
                <w:highlight w:val="none"/>
              </w:rPr>
              <w:t>图5-3  可变滚子摇臂主要生产工艺及产排污节点图</w:t>
            </w:r>
          </w:p>
          <w:p>
            <w:pPr>
              <w:spacing w:line="360" w:lineRule="auto"/>
              <w:ind w:firstLine="480" w:firstLineChars="200"/>
              <w:rPr>
                <w:color w:val="auto"/>
                <w:sz w:val="24"/>
                <w:highlight w:val="none"/>
              </w:rPr>
            </w:pPr>
            <w:r>
              <w:rPr>
                <w:rFonts w:hint="eastAsia"/>
                <w:color w:val="auto"/>
                <w:sz w:val="24"/>
                <w:highlight w:val="none"/>
              </w:rPr>
              <w:t>该类产品生产主要污染工序及污染物分析如下：</w:t>
            </w:r>
          </w:p>
          <w:p>
            <w:pPr>
              <w:spacing w:line="360" w:lineRule="auto"/>
              <w:ind w:firstLine="480" w:firstLineChars="200"/>
              <w:rPr>
                <w:color w:val="auto"/>
                <w:sz w:val="24"/>
                <w:highlight w:val="none"/>
              </w:rPr>
            </w:pPr>
            <w:r>
              <w:rPr>
                <w:rFonts w:hint="eastAsia"/>
                <w:color w:val="auto"/>
                <w:sz w:val="24"/>
                <w:highlight w:val="none"/>
              </w:rPr>
              <w:t>①噪声：包括铣削、热处理、喷砂、抛光、装配等设备运行噪声（N1）。</w:t>
            </w:r>
          </w:p>
          <w:p>
            <w:pPr>
              <w:spacing w:line="360" w:lineRule="auto"/>
              <w:ind w:firstLine="480" w:firstLineChars="200"/>
              <w:rPr>
                <w:color w:val="auto"/>
                <w:sz w:val="24"/>
                <w:highlight w:val="none"/>
              </w:rPr>
            </w:pPr>
            <w:r>
              <w:rPr>
                <w:rFonts w:hint="eastAsia"/>
                <w:color w:val="auto"/>
                <w:sz w:val="24"/>
                <w:highlight w:val="none"/>
              </w:rPr>
              <w:t>②固体废弃物：包括铣削、喷砂、抛光作业产生的边角废料（S1），质检过程中产生的残次品（S2）、去毛刺废渣（S3）。此外，还有设备定期更换的各类废油脂（S5）、以及清洗废液（S6）。</w:t>
            </w:r>
          </w:p>
          <w:p>
            <w:pPr>
              <w:spacing w:line="360" w:lineRule="auto"/>
              <w:ind w:firstLine="480" w:firstLineChars="200"/>
              <w:rPr>
                <w:color w:val="auto"/>
                <w:sz w:val="24"/>
                <w:highlight w:val="none"/>
              </w:rPr>
            </w:pPr>
            <w:r>
              <w:rPr>
                <w:rFonts w:hint="eastAsia"/>
                <w:color w:val="auto"/>
                <w:sz w:val="24"/>
                <w:highlight w:val="none"/>
              </w:rPr>
              <w:t>③废气：包括清洗废气（A1）、热处理废气（A2）。</w:t>
            </w:r>
          </w:p>
          <w:p>
            <w:pPr>
              <w:spacing w:line="360" w:lineRule="auto"/>
              <w:ind w:firstLine="480" w:firstLineChars="200"/>
              <w:rPr>
                <w:color w:val="auto"/>
                <w:sz w:val="24"/>
                <w:highlight w:val="none"/>
              </w:rPr>
            </w:pPr>
            <w:r>
              <w:rPr>
                <w:rFonts w:hint="eastAsia"/>
                <w:color w:val="auto"/>
                <w:sz w:val="24"/>
                <w:highlight w:val="none"/>
              </w:rPr>
              <w:t>主要工艺环节说明如下：</w:t>
            </w:r>
          </w:p>
          <w:p>
            <w:pPr>
              <w:spacing w:line="360" w:lineRule="auto"/>
              <w:ind w:firstLine="480" w:firstLineChars="200"/>
              <w:rPr>
                <w:color w:val="auto"/>
                <w:sz w:val="24"/>
                <w:highlight w:val="none"/>
              </w:rPr>
            </w:pPr>
            <w:r>
              <w:rPr>
                <w:rFonts w:hint="eastAsia"/>
                <w:color w:val="auto"/>
                <w:sz w:val="24"/>
                <w:highlight w:val="none"/>
              </w:rPr>
              <w:t>①清洗、热处理、喷砂及抛光：可变滚子摇臂清洗、热处理、抛光工序工作原理与滚子摇臂对应工艺相同。喷砂工艺与滚子摇臂抛光原理类似，仅研磨料不同。</w:t>
            </w:r>
          </w:p>
          <w:p>
            <w:pPr>
              <w:spacing w:line="360" w:lineRule="auto"/>
              <w:ind w:firstLine="480" w:firstLineChars="200"/>
              <w:rPr>
                <w:color w:val="auto"/>
                <w:sz w:val="24"/>
                <w:highlight w:val="none"/>
              </w:rPr>
            </w:pPr>
            <w:r>
              <w:rPr>
                <w:rFonts w:hint="eastAsia"/>
                <w:color w:val="auto"/>
                <w:sz w:val="24"/>
                <w:highlight w:val="none"/>
              </w:rPr>
              <w:t>可变滚子摇臂与滚子摇臂共用热处理设备、清洗设备，可变滚子摇臂生产产生的热处理废气、清洗废气收集、处理及排放系统与滚子摇臂共用。</w:t>
            </w:r>
          </w:p>
          <w:p>
            <w:pPr>
              <w:spacing w:line="360" w:lineRule="auto"/>
              <w:ind w:firstLine="480" w:firstLineChars="200"/>
              <w:rPr>
                <w:color w:val="auto"/>
                <w:sz w:val="24"/>
                <w:highlight w:val="none"/>
              </w:rPr>
            </w:pPr>
            <w:r>
              <w:rPr>
                <w:rFonts w:hint="eastAsia"/>
                <w:color w:val="auto"/>
                <w:sz w:val="24"/>
                <w:highlight w:val="none"/>
              </w:rPr>
              <w:t>②去毛刺：通过</w:t>
            </w:r>
            <w:r>
              <w:rPr>
                <w:color w:val="auto"/>
                <w:sz w:val="24"/>
                <w:highlight w:val="none"/>
              </w:rPr>
              <w:t>电化学的方式</w:t>
            </w:r>
            <w:r>
              <w:rPr>
                <w:rFonts w:hint="eastAsia"/>
                <w:color w:val="auto"/>
                <w:sz w:val="24"/>
                <w:highlight w:val="none"/>
              </w:rPr>
              <w:t>去除</w:t>
            </w:r>
            <w:r>
              <w:rPr>
                <w:color w:val="auto"/>
                <w:sz w:val="24"/>
                <w:highlight w:val="none"/>
              </w:rPr>
              <w:t>细小部位</w:t>
            </w:r>
            <w:r>
              <w:rPr>
                <w:rFonts w:hint="eastAsia"/>
                <w:color w:val="auto"/>
                <w:sz w:val="24"/>
                <w:highlight w:val="none"/>
              </w:rPr>
              <w:t>的</w:t>
            </w:r>
            <w:r>
              <w:rPr>
                <w:color w:val="auto"/>
                <w:sz w:val="24"/>
                <w:highlight w:val="none"/>
              </w:rPr>
              <w:t>铁屑毛刺</w:t>
            </w:r>
            <w:r>
              <w:rPr>
                <w:rFonts w:hint="eastAsia"/>
                <w:color w:val="auto"/>
                <w:sz w:val="24"/>
                <w:highlight w:val="none"/>
              </w:rPr>
              <w:t>，</w:t>
            </w:r>
            <w:r>
              <w:rPr>
                <w:color w:val="auto"/>
                <w:sz w:val="24"/>
                <w:highlight w:val="none"/>
              </w:rPr>
              <w:t>得到光滑的表面。</w:t>
            </w:r>
            <w:r>
              <w:rPr>
                <w:rFonts w:hint="eastAsia"/>
                <w:color w:val="auto"/>
                <w:sz w:val="24"/>
                <w:highlight w:val="none"/>
              </w:rPr>
              <w:t>电化学去毛刺的基本原理是利用金属在电解工作液中产生阳极溶解的电化学反应现象。本项目使用硝酸钠水溶液作为电解液，电解液循环使用不外排，电解槽需定期清理废渣，主要成分为氢氧化铁。</w:t>
            </w:r>
          </w:p>
          <w:p>
            <w:pPr>
              <w:spacing w:line="360" w:lineRule="auto"/>
              <w:ind w:firstLine="480" w:firstLineChars="200"/>
              <w:rPr>
                <w:color w:val="auto"/>
                <w:sz w:val="24"/>
                <w:highlight w:val="none"/>
              </w:rPr>
            </w:pPr>
            <w:r>
              <w:rPr>
                <w:rFonts w:hint="eastAsia"/>
                <w:color w:val="auto"/>
                <w:sz w:val="24"/>
                <w:highlight w:val="none"/>
              </w:rPr>
              <w:t>（3）悬架轴承</w:t>
            </w:r>
          </w:p>
          <w:p>
            <w:pPr>
              <w:spacing w:line="360" w:lineRule="auto"/>
              <w:ind w:firstLine="480" w:firstLineChars="200"/>
              <w:rPr>
                <w:color w:val="auto"/>
                <w:sz w:val="24"/>
                <w:highlight w:val="none"/>
              </w:rPr>
            </w:pPr>
            <w:r>
              <w:rPr>
                <w:rFonts w:hint="eastAsia"/>
                <w:color w:val="auto"/>
                <w:sz w:val="24"/>
                <w:highlight w:val="none"/>
              </w:rPr>
              <w:t>悬架轴承生产主要包括钢球装配、注脂、压装等工艺，下图5-4为悬架轴承主要生产工艺及产排污节点图。</w:t>
            </w:r>
          </w:p>
          <w:p>
            <w:pPr>
              <w:spacing w:line="360" w:lineRule="auto"/>
              <w:ind w:firstLine="420" w:firstLineChars="200"/>
              <w:jc w:val="center"/>
              <w:rPr>
                <w:color w:val="auto"/>
                <w:sz w:val="24"/>
                <w:highlight w:val="none"/>
              </w:rPr>
            </w:pPr>
            <w:r>
              <w:rPr>
                <w:color w:val="auto"/>
                <w:highlight w:val="none"/>
              </w:rPr>
              <w:object>
                <v:shape id="_x0000_i1028" o:spt="75" type="#_x0000_t75" style="height:265.5pt;width:437.25pt;" o:ole="t" filled="f" o:preferrelative="t" stroked="f" coordsize="21600,21600">
                  <v:path/>
                  <v:fill on="f" focussize="0,0"/>
                  <v:stroke on="f" joinstyle="miter"/>
                  <v:imagedata r:id="rId40" o:title=""/>
                  <o:lock v:ext="edit" aspectratio="t"/>
                  <w10:wrap type="none"/>
                  <w10:anchorlock/>
                </v:shape>
                <o:OLEObject Type="Embed" ProgID="Visio.Drawing.11" ShapeID="_x0000_i1028" DrawAspect="Content" ObjectID="_1468075728" r:id="rId39">
                  <o:LockedField>false</o:LockedField>
                </o:OLEObject>
              </w:object>
            </w:r>
            <w:r>
              <w:rPr>
                <w:rFonts w:hint="eastAsia"/>
                <w:b/>
                <w:color w:val="auto"/>
                <w:sz w:val="24"/>
                <w:highlight w:val="none"/>
              </w:rPr>
              <w:t>图5-4  悬架轴承主要生产工艺及产排污节点图</w:t>
            </w:r>
          </w:p>
          <w:p>
            <w:pPr>
              <w:spacing w:line="360" w:lineRule="auto"/>
              <w:ind w:firstLine="480" w:firstLineChars="200"/>
              <w:rPr>
                <w:color w:val="auto"/>
                <w:sz w:val="24"/>
                <w:highlight w:val="none"/>
              </w:rPr>
            </w:pPr>
            <w:r>
              <w:rPr>
                <w:rFonts w:hint="eastAsia"/>
                <w:color w:val="auto"/>
                <w:sz w:val="24"/>
                <w:highlight w:val="none"/>
              </w:rPr>
              <w:t>该类产品生产主要污染工序及污染物分析如下：</w:t>
            </w:r>
          </w:p>
          <w:p>
            <w:pPr>
              <w:spacing w:line="360" w:lineRule="auto"/>
              <w:ind w:firstLine="480" w:firstLineChars="200"/>
              <w:rPr>
                <w:color w:val="auto"/>
                <w:sz w:val="24"/>
                <w:highlight w:val="none"/>
              </w:rPr>
            </w:pPr>
            <w:r>
              <w:rPr>
                <w:rFonts w:hint="eastAsia"/>
                <w:color w:val="auto"/>
                <w:sz w:val="24"/>
                <w:highlight w:val="none"/>
              </w:rPr>
              <w:t>①噪声：包括装配设备运行噪声（N1）。</w:t>
            </w:r>
          </w:p>
          <w:p>
            <w:pPr>
              <w:spacing w:line="360" w:lineRule="auto"/>
              <w:ind w:firstLine="480" w:firstLineChars="200"/>
              <w:rPr>
                <w:color w:val="auto"/>
                <w:sz w:val="24"/>
                <w:highlight w:val="none"/>
              </w:rPr>
            </w:pPr>
            <w:r>
              <w:rPr>
                <w:rFonts w:hint="eastAsia"/>
                <w:color w:val="auto"/>
                <w:sz w:val="24"/>
                <w:highlight w:val="none"/>
              </w:rPr>
              <w:t>②固体废弃物：包括质检过程中产生的残次品（S2）。</w:t>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r>
              <w:rPr>
                <w:rFonts w:hint="eastAsia"/>
                <w:color w:val="auto"/>
                <w:sz w:val="24"/>
                <w:highlight w:val="none"/>
              </w:rPr>
              <w:t>（4）轮毂轴承3代</w:t>
            </w:r>
          </w:p>
          <w:p>
            <w:pPr>
              <w:spacing w:line="360" w:lineRule="auto"/>
              <w:ind w:firstLine="480" w:firstLineChars="200"/>
              <w:rPr>
                <w:color w:val="auto"/>
                <w:sz w:val="24"/>
                <w:highlight w:val="none"/>
              </w:rPr>
            </w:pPr>
            <w:r>
              <w:rPr>
                <w:rFonts w:hint="eastAsia"/>
                <w:color w:val="auto"/>
                <w:sz w:val="24"/>
                <w:highlight w:val="none"/>
              </w:rPr>
              <w:t>轮毂轴承3代生产主要包括热处理，车、钻、拉粗加工、磨削、清洗、装配等工艺，下图5-5为轮毂轴承3代主要生产工艺及产排污节点图。</w:t>
            </w:r>
          </w:p>
          <w:p>
            <w:pPr>
              <w:spacing w:line="360" w:lineRule="auto"/>
              <w:ind w:firstLine="480" w:firstLineChars="200"/>
              <w:rPr>
                <w:color w:val="auto"/>
                <w:sz w:val="24"/>
                <w:highlight w:val="none"/>
              </w:rPr>
            </w:pPr>
          </w:p>
          <w:p>
            <w:pPr>
              <w:spacing w:line="360" w:lineRule="auto"/>
              <w:ind w:firstLine="420" w:firstLineChars="200"/>
              <w:jc w:val="center"/>
              <w:rPr>
                <w:color w:val="auto"/>
                <w:sz w:val="24"/>
                <w:highlight w:val="none"/>
              </w:rPr>
            </w:pPr>
            <w:r>
              <w:rPr>
                <w:color w:val="auto"/>
                <w:highlight w:val="none"/>
              </w:rPr>
              <w:object>
                <v:shape id="_x0000_i1029" o:spt="75" type="#_x0000_t75" style="height:315.75pt;width:446.25pt;" o:ole="t" filled="f" o:preferrelative="t" stroked="f" coordsize="21600,21600">
                  <v:path/>
                  <v:fill on="f" focussize="0,0"/>
                  <v:stroke on="f" joinstyle="miter"/>
                  <v:imagedata r:id="rId42" o:title=""/>
                  <o:lock v:ext="edit" aspectratio="t"/>
                  <w10:wrap type="none"/>
                  <w10:anchorlock/>
                </v:shape>
                <o:OLEObject Type="Embed" ProgID="Visio.Drawing.11" ShapeID="_x0000_i1029" DrawAspect="Content" ObjectID="_1468075729" r:id="rId41">
                  <o:LockedField>false</o:LockedField>
                </o:OLEObject>
              </w:object>
            </w:r>
            <w:r>
              <w:rPr>
                <w:rFonts w:hint="eastAsia"/>
                <w:b/>
                <w:color w:val="auto"/>
                <w:sz w:val="24"/>
                <w:highlight w:val="none"/>
              </w:rPr>
              <w:t>图5-5  轮毂轴承3代主要生产工艺及产排污节点图</w:t>
            </w:r>
          </w:p>
          <w:p>
            <w:pPr>
              <w:spacing w:line="360" w:lineRule="auto"/>
              <w:ind w:firstLine="480" w:firstLineChars="200"/>
              <w:rPr>
                <w:color w:val="auto"/>
                <w:sz w:val="24"/>
                <w:highlight w:val="none"/>
              </w:rPr>
            </w:pPr>
            <w:r>
              <w:rPr>
                <w:rFonts w:hint="eastAsia"/>
                <w:color w:val="auto"/>
                <w:sz w:val="24"/>
                <w:highlight w:val="none"/>
              </w:rPr>
              <w:t>该类产品生产主要污染工序及污染物分析如下：</w:t>
            </w:r>
          </w:p>
          <w:p>
            <w:pPr>
              <w:spacing w:line="360" w:lineRule="auto"/>
              <w:ind w:firstLine="480" w:firstLineChars="200"/>
              <w:rPr>
                <w:color w:val="auto"/>
                <w:sz w:val="24"/>
                <w:highlight w:val="none"/>
              </w:rPr>
            </w:pPr>
            <w:r>
              <w:rPr>
                <w:rFonts w:hint="eastAsia"/>
                <w:color w:val="auto"/>
                <w:sz w:val="24"/>
                <w:highlight w:val="none"/>
              </w:rPr>
              <w:t>①噪声：包括热处理，车、钻、拉粗加工、磨削、装配等设备运行噪声（N1）。</w:t>
            </w:r>
          </w:p>
          <w:p>
            <w:pPr>
              <w:spacing w:line="360" w:lineRule="auto"/>
              <w:ind w:firstLine="480" w:firstLineChars="200"/>
              <w:rPr>
                <w:color w:val="auto"/>
                <w:sz w:val="24"/>
                <w:highlight w:val="none"/>
              </w:rPr>
            </w:pPr>
            <w:r>
              <w:rPr>
                <w:rFonts w:hint="eastAsia"/>
                <w:color w:val="auto"/>
                <w:sz w:val="24"/>
                <w:highlight w:val="none"/>
              </w:rPr>
              <w:t>②固体废弃物：包括车、钻、拉、磨削作业产生的边角废料（S1），质检过程中产生的残次品（S2）。此外，还有设备定期更换的废乳化液（S4）、各类废油脂（S5）以及清洗废液（S6）。</w:t>
            </w:r>
          </w:p>
          <w:p>
            <w:pPr>
              <w:spacing w:line="360" w:lineRule="auto"/>
              <w:ind w:firstLine="480" w:firstLineChars="200"/>
              <w:rPr>
                <w:color w:val="auto"/>
                <w:sz w:val="24"/>
                <w:highlight w:val="none"/>
              </w:rPr>
            </w:pPr>
            <w:r>
              <w:rPr>
                <w:rFonts w:hint="eastAsia"/>
                <w:color w:val="auto"/>
                <w:sz w:val="24"/>
                <w:highlight w:val="none"/>
              </w:rPr>
              <w:t>③废气：包括清洗废气（A1）、热处理废气（A2）。</w:t>
            </w:r>
          </w:p>
          <w:p>
            <w:pPr>
              <w:spacing w:line="360" w:lineRule="auto"/>
              <w:ind w:firstLine="480" w:firstLineChars="200"/>
              <w:rPr>
                <w:color w:val="auto"/>
                <w:sz w:val="24"/>
                <w:highlight w:val="none"/>
              </w:rPr>
            </w:pPr>
            <w:r>
              <w:rPr>
                <w:rFonts w:hint="eastAsia"/>
                <w:color w:val="auto"/>
                <w:sz w:val="24"/>
                <w:highlight w:val="none"/>
              </w:rPr>
              <w:t>轮毂轴承生产废气产生工序及主要污染物类型与滚子摇臂生产过程中对应废气类似。轮毂轴承清洗废气收集后于滚子摇臂共用15m排气筒（1#）排出。轮毂轴承热处理有单独的设备，其热处理废气拟设置15m排气筒（3#）排出。</w:t>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r>
              <w:rPr>
                <w:rFonts w:hint="eastAsia"/>
                <w:color w:val="auto"/>
                <w:sz w:val="24"/>
                <w:highlight w:val="none"/>
              </w:rPr>
              <w:t>（5）张紧器</w:t>
            </w:r>
          </w:p>
          <w:p>
            <w:pPr>
              <w:spacing w:line="360" w:lineRule="auto"/>
              <w:ind w:firstLine="480" w:firstLineChars="200"/>
              <w:rPr>
                <w:color w:val="auto"/>
                <w:sz w:val="24"/>
                <w:highlight w:val="none"/>
              </w:rPr>
            </w:pPr>
            <w:r>
              <w:rPr>
                <w:rFonts w:hint="eastAsia"/>
                <w:color w:val="auto"/>
                <w:sz w:val="24"/>
                <w:highlight w:val="none"/>
              </w:rPr>
              <w:t>张紧器生产主要包括清洗、热处理、磨削、注塑、装配等工艺，下图5-6为张紧器主要生产工艺及产排污节点图。</w:t>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p>
          <w:p>
            <w:pPr>
              <w:spacing w:line="360" w:lineRule="auto"/>
              <w:ind w:firstLine="420" w:firstLineChars="200"/>
              <w:rPr>
                <w:color w:val="auto"/>
                <w:sz w:val="24"/>
                <w:highlight w:val="none"/>
              </w:rPr>
            </w:pPr>
            <w:r>
              <w:rPr>
                <w:color w:val="auto"/>
                <w:highlight w:val="none"/>
              </w:rPr>
              <w:object>
                <v:shape id="_x0000_i1030" o:spt="75" type="#_x0000_t75" style="height:471pt;width:422.25pt;" o:ole="t" filled="f" o:preferrelative="t" stroked="f" coordsize="21600,21600">
                  <v:path/>
                  <v:fill on="f" focussize="0,0"/>
                  <v:stroke on="f" joinstyle="miter"/>
                  <v:imagedata r:id="rId44" o:title=""/>
                  <o:lock v:ext="edit" aspectratio="t"/>
                  <w10:wrap type="none"/>
                  <w10:anchorlock/>
                </v:shape>
                <o:OLEObject Type="Embed" ProgID="Visio.Drawing.11" ShapeID="_x0000_i1030" DrawAspect="Content" ObjectID="_1468075730" r:id="rId43">
                  <o:LockedField>false</o:LockedField>
                </o:OLEObject>
              </w:object>
            </w:r>
          </w:p>
          <w:p>
            <w:pPr>
              <w:spacing w:line="360" w:lineRule="auto"/>
              <w:ind w:firstLine="482" w:firstLineChars="200"/>
              <w:jc w:val="center"/>
              <w:rPr>
                <w:color w:val="auto"/>
                <w:sz w:val="24"/>
                <w:highlight w:val="none"/>
              </w:rPr>
            </w:pPr>
            <w:r>
              <w:rPr>
                <w:rFonts w:hint="eastAsia"/>
                <w:b/>
                <w:color w:val="auto"/>
                <w:sz w:val="24"/>
                <w:highlight w:val="none"/>
              </w:rPr>
              <w:t>图5-6  张紧器主要生产工艺及产排污节点图</w:t>
            </w:r>
          </w:p>
          <w:p>
            <w:pPr>
              <w:spacing w:line="360" w:lineRule="auto"/>
              <w:ind w:firstLine="480" w:firstLineChars="200"/>
              <w:rPr>
                <w:color w:val="auto"/>
                <w:sz w:val="24"/>
                <w:highlight w:val="none"/>
              </w:rPr>
            </w:pPr>
            <w:r>
              <w:rPr>
                <w:rFonts w:hint="eastAsia"/>
                <w:color w:val="auto"/>
                <w:sz w:val="24"/>
                <w:highlight w:val="none"/>
              </w:rPr>
              <w:t>该类产品生产主要污染工序及污染物分析如下：</w:t>
            </w:r>
          </w:p>
          <w:p>
            <w:pPr>
              <w:spacing w:line="360" w:lineRule="auto"/>
              <w:ind w:firstLine="480" w:firstLineChars="200"/>
              <w:rPr>
                <w:color w:val="auto"/>
                <w:sz w:val="24"/>
                <w:highlight w:val="none"/>
              </w:rPr>
            </w:pPr>
            <w:r>
              <w:rPr>
                <w:rFonts w:hint="eastAsia"/>
                <w:color w:val="auto"/>
                <w:sz w:val="24"/>
                <w:highlight w:val="none"/>
              </w:rPr>
              <w:t>①噪声：包括热处理、磨削、注塑、装配等设备运行噪声（N1）。</w:t>
            </w:r>
          </w:p>
          <w:p>
            <w:pPr>
              <w:spacing w:line="360" w:lineRule="auto"/>
              <w:ind w:firstLine="480" w:firstLineChars="200"/>
              <w:rPr>
                <w:color w:val="auto"/>
                <w:sz w:val="24"/>
                <w:highlight w:val="none"/>
              </w:rPr>
            </w:pPr>
            <w:r>
              <w:rPr>
                <w:rFonts w:hint="eastAsia"/>
                <w:color w:val="auto"/>
                <w:sz w:val="24"/>
                <w:highlight w:val="none"/>
              </w:rPr>
              <w:t>②固体废弃物：包括磨削作业产生的边角废料（S1），质检过程中产生的残次品（S2）。此外，还有设备定期更换的废乳化液（S4）、各类废油脂（S5）以及清洗废液（S6）。</w:t>
            </w:r>
          </w:p>
          <w:p>
            <w:pPr>
              <w:spacing w:line="360" w:lineRule="auto"/>
              <w:ind w:firstLine="480" w:firstLineChars="200"/>
              <w:rPr>
                <w:color w:val="auto"/>
                <w:sz w:val="24"/>
                <w:highlight w:val="none"/>
              </w:rPr>
            </w:pPr>
            <w:r>
              <w:rPr>
                <w:rFonts w:hint="eastAsia"/>
                <w:color w:val="auto"/>
                <w:sz w:val="24"/>
                <w:highlight w:val="none"/>
              </w:rPr>
              <w:t>③废气：包括清洗废气（A1）、热处理废气（A2）、注塑废气（A3）。</w:t>
            </w:r>
          </w:p>
          <w:p>
            <w:pPr>
              <w:spacing w:line="360" w:lineRule="auto"/>
              <w:ind w:firstLine="480" w:firstLineChars="200"/>
              <w:rPr>
                <w:color w:val="auto"/>
                <w:sz w:val="24"/>
                <w:highlight w:val="none"/>
              </w:rPr>
            </w:pPr>
            <w:r>
              <w:rPr>
                <w:rFonts w:hint="eastAsia"/>
                <w:color w:val="auto"/>
                <w:sz w:val="24"/>
                <w:highlight w:val="none"/>
              </w:rPr>
              <w:t>主要工艺环节说明如下：</w:t>
            </w:r>
          </w:p>
          <w:p>
            <w:pPr>
              <w:spacing w:line="360" w:lineRule="auto"/>
              <w:ind w:firstLine="480" w:firstLineChars="200"/>
              <w:rPr>
                <w:color w:val="auto"/>
                <w:sz w:val="24"/>
                <w:highlight w:val="none"/>
              </w:rPr>
            </w:pPr>
            <w:r>
              <w:rPr>
                <w:rFonts w:hint="eastAsia"/>
                <w:color w:val="auto"/>
                <w:sz w:val="24"/>
                <w:highlight w:val="none"/>
              </w:rPr>
              <w:t>①清洗、热处理：张紧器清洗、热处理工作原理与滚子摇臂对应工艺相同。张紧器生产产生的热处理废气、清洗废气收集、处理及排放系统与滚子摇臂共用。</w:t>
            </w:r>
          </w:p>
          <w:p>
            <w:pPr>
              <w:spacing w:line="360" w:lineRule="auto"/>
              <w:ind w:firstLine="480" w:firstLineChars="200"/>
              <w:rPr>
                <w:color w:val="auto"/>
                <w:sz w:val="24"/>
                <w:highlight w:val="none"/>
              </w:rPr>
            </w:pPr>
            <w:r>
              <w:rPr>
                <w:rFonts w:hint="eastAsia"/>
                <w:color w:val="auto"/>
                <w:sz w:val="24"/>
                <w:highlight w:val="none"/>
              </w:rPr>
              <w:t>②注塑：</w:t>
            </w:r>
          </w:p>
          <w:p>
            <w:pPr>
              <w:spacing w:line="360" w:lineRule="auto"/>
              <w:ind w:firstLine="504" w:firstLineChars="200"/>
              <w:rPr>
                <w:color w:val="auto"/>
                <w:spacing w:val="6"/>
                <w:sz w:val="24"/>
                <w:highlight w:val="none"/>
              </w:rPr>
            </w:pPr>
            <w:r>
              <w:rPr>
                <w:rFonts w:hint="eastAsia"/>
                <w:color w:val="auto"/>
                <w:spacing w:val="6"/>
                <w:sz w:val="24"/>
                <w:highlight w:val="none"/>
              </w:rPr>
              <w:t>张紧器注塑原料为PA66GF25（聚己二酰己二胺）塑料粒子，该类塑料熔点为250℃左右，空气条件下温度在350℃以上PA66GF25才发生分解。</w:t>
            </w:r>
          </w:p>
          <w:p>
            <w:pPr>
              <w:spacing w:line="360" w:lineRule="auto"/>
              <w:ind w:firstLine="504" w:firstLineChars="200"/>
              <w:rPr>
                <w:color w:val="auto"/>
                <w:sz w:val="24"/>
                <w:highlight w:val="none"/>
              </w:rPr>
            </w:pPr>
            <w:r>
              <w:rPr>
                <w:rFonts w:hint="eastAsia"/>
                <w:color w:val="auto"/>
                <w:spacing w:val="6"/>
                <w:sz w:val="24"/>
                <w:highlight w:val="none"/>
              </w:rPr>
              <w:t>PA66GF25（聚己二酰己二胺）</w:t>
            </w:r>
            <w:r>
              <w:rPr>
                <w:rFonts w:hint="eastAsia"/>
                <w:color w:val="auto"/>
                <w:sz w:val="24"/>
                <w:highlight w:val="none"/>
              </w:rPr>
              <w:t>塑料粒子由中央供料系统烘干后（烘干温度150℃左右），通过供料管道运输至注塑机。供料系统烘干温度远低于</w:t>
            </w:r>
            <w:r>
              <w:rPr>
                <w:rFonts w:hint="eastAsia"/>
                <w:color w:val="auto"/>
                <w:spacing w:val="6"/>
                <w:sz w:val="24"/>
                <w:highlight w:val="none"/>
              </w:rPr>
              <w:t>PA66GF25</w:t>
            </w:r>
            <w:r>
              <w:rPr>
                <w:rFonts w:hint="eastAsia"/>
                <w:color w:val="auto"/>
                <w:sz w:val="24"/>
                <w:highlight w:val="none"/>
              </w:rPr>
              <w:t>塑料熔融温度，基本不产生含污染物的废气。注塑机</w:t>
            </w:r>
            <w:r>
              <w:rPr>
                <w:rFonts w:hint="eastAsia"/>
                <w:color w:val="auto"/>
                <w:spacing w:val="6"/>
                <w:sz w:val="24"/>
                <w:highlight w:val="none"/>
              </w:rPr>
              <w:t>注塑过程中仅将塑料粒子加热到使之具有热塑性的温度（250℃左右），以挤压成型为主，不需要将塑料完全熔融后再成型。塑料基本不发生分解，不发生化学反应，仅是一个物理加热加工过程。同时，塑料熔融过程是在注塑机内部完成，处于严格密闭状态，即使有废气产生也会在冷却后重新固定在产品中，脱模的时候由于温度已明显下降，只有少量残余未聚合单体挥发出来。因此，注塑工序产生的废气主要为挥发出的少量有机废气，已VOCs计，主要成分为己二酰己二胺等，通过车间无组织排放。</w:t>
            </w:r>
          </w:p>
          <w:p>
            <w:pPr>
              <w:spacing w:line="360" w:lineRule="auto"/>
              <w:ind w:firstLine="480" w:firstLineChars="200"/>
              <w:rPr>
                <w:color w:val="auto"/>
                <w:sz w:val="24"/>
                <w:highlight w:val="none"/>
              </w:rPr>
            </w:pPr>
            <w:r>
              <w:rPr>
                <w:rFonts w:hint="eastAsia"/>
                <w:color w:val="auto"/>
                <w:sz w:val="24"/>
                <w:highlight w:val="none"/>
              </w:rPr>
              <w:t>（6）热管理模块</w:t>
            </w:r>
          </w:p>
          <w:p>
            <w:pPr>
              <w:spacing w:line="360" w:lineRule="auto"/>
              <w:ind w:firstLine="480" w:firstLineChars="200"/>
              <w:rPr>
                <w:color w:val="auto"/>
                <w:sz w:val="24"/>
                <w:highlight w:val="none"/>
              </w:rPr>
            </w:pPr>
            <w:r>
              <w:rPr>
                <w:rFonts w:hint="eastAsia"/>
                <w:color w:val="auto"/>
                <w:sz w:val="24"/>
                <w:highlight w:val="none"/>
              </w:rPr>
              <w:t>热管理模块生产主要包括烘干、注塑成型、毛刺处理、装配等工艺，下图5-7为热管理模块主要生产工艺及产排污节点图。</w:t>
            </w:r>
          </w:p>
          <w:p>
            <w:pPr>
              <w:spacing w:line="360" w:lineRule="auto"/>
              <w:ind w:firstLine="420" w:firstLineChars="200"/>
              <w:rPr>
                <w:color w:val="auto"/>
                <w:sz w:val="24"/>
                <w:highlight w:val="none"/>
              </w:rPr>
            </w:pPr>
            <w:r>
              <w:rPr>
                <w:color w:val="auto"/>
                <w:highlight w:val="none"/>
              </w:rPr>
              <w:object>
                <v:shape id="_x0000_i1031" o:spt="75" type="#_x0000_t75" style="height:282.75pt;width:422.25pt;" o:ole="t" filled="f" o:preferrelative="t" stroked="f" coordsize="21600,21600">
                  <v:path/>
                  <v:fill on="f" focussize="0,0"/>
                  <v:stroke on="f" joinstyle="miter"/>
                  <v:imagedata r:id="rId46" o:title=""/>
                  <o:lock v:ext="edit" aspectratio="t"/>
                  <w10:wrap type="none"/>
                  <w10:anchorlock/>
                </v:shape>
                <o:OLEObject Type="Embed" ProgID="Visio.Drawing.11" ShapeID="_x0000_i1031" DrawAspect="Content" ObjectID="_1468075731" r:id="rId45">
                  <o:LockedField>false</o:LockedField>
                </o:OLEObject>
              </w:object>
            </w:r>
          </w:p>
          <w:p>
            <w:pPr>
              <w:spacing w:line="360" w:lineRule="auto"/>
              <w:ind w:firstLine="482" w:firstLineChars="200"/>
              <w:jc w:val="center"/>
              <w:rPr>
                <w:color w:val="auto"/>
                <w:sz w:val="24"/>
                <w:highlight w:val="none"/>
              </w:rPr>
            </w:pPr>
            <w:r>
              <w:rPr>
                <w:rFonts w:hint="eastAsia"/>
                <w:b/>
                <w:color w:val="auto"/>
                <w:sz w:val="24"/>
                <w:highlight w:val="none"/>
              </w:rPr>
              <w:t>图5-7  热管理模块主要生产工艺及产排污节点图</w:t>
            </w:r>
          </w:p>
          <w:p>
            <w:pPr>
              <w:spacing w:line="360" w:lineRule="auto"/>
              <w:ind w:firstLine="480" w:firstLineChars="200"/>
              <w:rPr>
                <w:color w:val="auto"/>
                <w:sz w:val="24"/>
                <w:highlight w:val="none"/>
              </w:rPr>
            </w:pPr>
            <w:r>
              <w:rPr>
                <w:rFonts w:hint="eastAsia"/>
                <w:color w:val="auto"/>
                <w:sz w:val="24"/>
                <w:highlight w:val="none"/>
              </w:rPr>
              <w:t>该类产品生产主要污染工序及污染物分析如下：</w:t>
            </w:r>
          </w:p>
          <w:p>
            <w:pPr>
              <w:spacing w:line="360" w:lineRule="auto"/>
              <w:ind w:firstLine="480" w:firstLineChars="200"/>
              <w:rPr>
                <w:color w:val="auto"/>
                <w:sz w:val="24"/>
                <w:highlight w:val="none"/>
              </w:rPr>
            </w:pPr>
            <w:r>
              <w:rPr>
                <w:rFonts w:hint="eastAsia"/>
                <w:color w:val="auto"/>
                <w:sz w:val="24"/>
                <w:highlight w:val="none"/>
              </w:rPr>
              <w:t>①噪声：包括烘干、注塑、装配等设备运行噪声（N1）。</w:t>
            </w:r>
          </w:p>
          <w:p>
            <w:pPr>
              <w:spacing w:line="360" w:lineRule="auto"/>
              <w:ind w:firstLine="480" w:firstLineChars="200"/>
              <w:rPr>
                <w:color w:val="auto"/>
                <w:sz w:val="24"/>
                <w:highlight w:val="none"/>
              </w:rPr>
            </w:pPr>
            <w:r>
              <w:rPr>
                <w:rFonts w:hint="eastAsia"/>
                <w:color w:val="auto"/>
                <w:sz w:val="24"/>
                <w:highlight w:val="none"/>
              </w:rPr>
              <w:t>②固体废弃物：包括毛刺处理产生的边角废料（S1），质检过程中产生的残次品（S2）。</w:t>
            </w:r>
          </w:p>
          <w:p>
            <w:pPr>
              <w:spacing w:line="360" w:lineRule="auto"/>
              <w:ind w:firstLine="480" w:firstLineChars="200"/>
              <w:rPr>
                <w:color w:val="auto"/>
                <w:sz w:val="24"/>
                <w:highlight w:val="none"/>
              </w:rPr>
            </w:pPr>
            <w:r>
              <w:rPr>
                <w:rFonts w:hint="eastAsia"/>
                <w:color w:val="auto"/>
                <w:sz w:val="24"/>
                <w:highlight w:val="none"/>
              </w:rPr>
              <w:t>③废气：包括注塑废气（A3）。</w:t>
            </w:r>
          </w:p>
          <w:p>
            <w:pPr>
              <w:spacing w:line="360" w:lineRule="auto"/>
              <w:ind w:firstLine="480" w:firstLineChars="200"/>
              <w:rPr>
                <w:color w:val="auto"/>
                <w:sz w:val="24"/>
                <w:highlight w:val="none"/>
              </w:rPr>
            </w:pPr>
            <w:r>
              <w:rPr>
                <w:rFonts w:hint="eastAsia"/>
                <w:color w:val="auto"/>
                <w:sz w:val="24"/>
                <w:highlight w:val="none"/>
              </w:rPr>
              <w:t>主要工艺环节说明如下：</w:t>
            </w:r>
          </w:p>
          <w:p>
            <w:pPr>
              <w:spacing w:line="360" w:lineRule="auto"/>
              <w:ind w:firstLine="480" w:firstLineChars="200"/>
              <w:rPr>
                <w:color w:val="auto"/>
                <w:sz w:val="24"/>
                <w:highlight w:val="none"/>
              </w:rPr>
            </w:pPr>
            <w:r>
              <w:rPr>
                <w:rFonts w:hint="eastAsia"/>
                <w:color w:val="auto"/>
                <w:sz w:val="24"/>
                <w:highlight w:val="none"/>
              </w:rPr>
              <w:t>①注塑</w:t>
            </w:r>
          </w:p>
          <w:p>
            <w:pPr>
              <w:spacing w:line="360" w:lineRule="auto"/>
              <w:ind w:firstLine="504" w:firstLineChars="200"/>
              <w:rPr>
                <w:color w:val="auto"/>
                <w:spacing w:val="6"/>
                <w:sz w:val="24"/>
                <w:highlight w:val="none"/>
              </w:rPr>
            </w:pPr>
            <w:r>
              <w:rPr>
                <w:rFonts w:hint="eastAsia"/>
                <w:color w:val="auto"/>
                <w:spacing w:val="6"/>
                <w:sz w:val="24"/>
                <w:highlight w:val="none"/>
              </w:rPr>
              <w:t>本项目热管理模块注塑原料为PPS（聚苯硫醚）塑料粒子，该类塑料熔点范围为280~330℃，空气条件下温度在430~460℃以上PPS才发生分解。</w:t>
            </w:r>
          </w:p>
          <w:p>
            <w:pPr>
              <w:spacing w:line="360" w:lineRule="auto"/>
              <w:ind w:firstLine="504" w:firstLineChars="200"/>
              <w:rPr>
                <w:color w:val="auto"/>
                <w:spacing w:val="6"/>
                <w:sz w:val="24"/>
                <w:highlight w:val="none"/>
              </w:rPr>
            </w:pPr>
            <w:r>
              <w:rPr>
                <w:rFonts w:hint="eastAsia"/>
                <w:color w:val="auto"/>
                <w:spacing w:val="6"/>
                <w:sz w:val="24"/>
                <w:highlight w:val="none"/>
              </w:rPr>
              <w:t>PPS（聚苯硫醚）塑料粒子</w:t>
            </w:r>
            <w:r>
              <w:rPr>
                <w:rFonts w:hint="eastAsia"/>
                <w:color w:val="auto"/>
                <w:sz w:val="24"/>
                <w:highlight w:val="none"/>
              </w:rPr>
              <w:t>由中央供料系统烘干后（烘干温度150℃左右），通过供料管道运输至注塑机。供料系统烘干温度远低于</w:t>
            </w:r>
            <w:r>
              <w:rPr>
                <w:rFonts w:hint="eastAsia"/>
                <w:color w:val="auto"/>
                <w:spacing w:val="6"/>
                <w:sz w:val="24"/>
                <w:highlight w:val="none"/>
              </w:rPr>
              <w:t>PPS</w:t>
            </w:r>
            <w:r>
              <w:rPr>
                <w:rFonts w:hint="eastAsia"/>
                <w:color w:val="auto"/>
                <w:sz w:val="24"/>
                <w:highlight w:val="none"/>
              </w:rPr>
              <w:t>塑料熔融温度，基本不产生含污染物的废气。热管理模块注塑机注塑温度为</w:t>
            </w:r>
            <w:r>
              <w:rPr>
                <w:rFonts w:hint="eastAsia"/>
                <w:color w:val="auto"/>
                <w:spacing w:val="6"/>
                <w:sz w:val="24"/>
                <w:highlight w:val="none"/>
              </w:rPr>
              <w:t>300℃左右，</w:t>
            </w:r>
            <w:r>
              <w:rPr>
                <w:rFonts w:hint="eastAsia"/>
                <w:color w:val="auto"/>
                <w:sz w:val="24"/>
                <w:highlight w:val="none"/>
              </w:rPr>
              <w:t>注塑原理与张紧器注塑原理相同。</w:t>
            </w:r>
            <w:r>
              <w:rPr>
                <w:rFonts w:hint="eastAsia"/>
                <w:color w:val="auto"/>
                <w:spacing w:val="6"/>
                <w:sz w:val="24"/>
                <w:highlight w:val="none"/>
              </w:rPr>
              <w:t>该产品注塑工序产生的废气主要为挥发出的少量有机废气，已VOCs计，主要成分为苯、苯硫醇、二苯硫等，通过车间无组织排放。</w:t>
            </w:r>
          </w:p>
          <w:p>
            <w:pPr>
              <w:spacing w:line="360" w:lineRule="auto"/>
              <w:ind w:firstLine="504" w:firstLineChars="200"/>
              <w:rPr>
                <w:color w:val="auto"/>
                <w:spacing w:val="6"/>
                <w:sz w:val="24"/>
                <w:highlight w:val="none"/>
              </w:rPr>
            </w:pPr>
            <w:r>
              <w:rPr>
                <w:rFonts w:hint="eastAsia"/>
                <w:color w:val="auto"/>
                <w:spacing w:val="6"/>
                <w:sz w:val="24"/>
                <w:highlight w:val="none"/>
              </w:rPr>
              <w:t>②产品毛刺处理：通过毛刷等工具，对注塑后的产品进行毛刺的清除，以达到工艺要求。该工序将产生边角废料。</w:t>
            </w:r>
          </w:p>
          <w:p>
            <w:pPr>
              <w:spacing w:line="360" w:lineRule="auto"/>
              <w:ind w:firstLine="480" w:firstLineChars="200"/>
              <w:rPr>
                <w:color w:val="auto"/>
                <w:sz w:val="24"/>
                <w:highlight w:val="none"/>
              </w:rPr>
            </w:pPr>
          </w:p>
          <w:p>
            <w:pPr>
              <w:spacing w:line="360" w:lineRule="auto"/>
              <w:ind w:firstLine="480" w:firstLineChars="200"/>
              <w:rPr>
                <w:color w:val="auto"/>
                <w:sz w:val="24"/>
                <w:highlight w:val="none"/>
              </w:rPr>
            </w:pPr>
            <w:r>
              <w:rPr>
                <w:rFonts w:hint="eastAsia"/>
                <w:color w:val="auto"/>
                <w:sz w:val="24"/>
                <w:highlight w:val="none"/>
              </w:rPr>
              <w:t>（7）小结</w:t>
            </w:r>
          </w:p>
          <w:p>
            <w:pPr>
              <w:spacing w:line="360" w:lineRule="auto"/>
              <w:ind w:firstLine="480" w:firstLineChars="200"/>
              <w:rPr>
                <w:color w:val="auto"/>
                <w:sz w:val="24"/>
                <w:highlight w:val="none"/>
              </w:rPr>
            </w:pPr>
            <w:r>
              <w:rPr>
                <w:rFonts w:hint="eastAsia"/>
                <w:color w:val="auto"/>
                <w:sz w:val="24"/>
                <w:highlight w:val="none"/>
              </w:rPr>
              <w:t>除上述产品生产工艺过程中产生的噪声、固废、废水及废气外，还有生产车间拖地废水、油雾净化器收集的淬火油。此外，项目职工生活过程中也将产生废水、废气、噪声及固废。项目营运期主要污染物产生工序情况详见下表5-1。</w:t>
            </w:r>
          </w:p>
          <w:p>
            <w:pPr>
              <w:snapToGrid w:val="0"/>
              <w:spacing w:line="360" w:lineRule="auto"/>
              <w:jc w:val="center"/>
              <w:rPr>
                <w:b/>
                <w:color w:val="auto"/>
                <w:sz w:val="24"/>
                <w:highlight w:val="none"/>
              </w:rPr>
            </w:pPr>
            <w:r>
              <w:rPr>
                <w:rFonts w:hint="eastAsia"/>
                <w:b/>
                <w:color w:val="auto"/>
                <w:sz w:val="24"/>
                <w:highlight w:val="none"/>
              </w:rPr>
              <w:t>表5-1  项目营运期主要污染物产生工序一览表</w:t>
            </w:r>
          </w:p>
          <w:tbl>
            <w:tblPr>
              <w:tblStyle w:val="29"/>
              <w:tblW w:w="933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697"/>
              <w:gridCol w:w="3211"/>
              <w:gridCol w:w="2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gridSpan w:val="2"/>
                  <w:vAlign w:val="center"/>
                </w:tcPr>
                <w:p>
                  <w:pPr>
                    <w:jc w:val="center"/>
                    <w:rPr>
                      <w:color w:val="auto"/>
                      <w:szCs w:val="21"/>
                      <w:highlight w:val="none"/>
                    </w:rPr>
                  </w:pPr>
                  <w:r>
                    <w:rPr>
                      <w:rFonts w:hint="eastAsia"/>
                      <w:color w:val="auto"/>
                      <w:szCs w:val="21"/>
                      <w:highlight w:val="none"/>
                    </w:rPr>
                    <w:t>环境因素</w:t>
                  </w:r>
                </w:p>
              </w:tc>
              <w:tc>
                <w:tcPr>
                  <w:tcW w:w="3211" w:type="dxa"/>
                  <w:vAlign w:val="center"/>
                </w:tcPr>
                <w:p>
                  <w:pPr>
                    <w:jc w:val="center"/>
                    <w:rPr>
                      <w:color w:val="auto"/>
                      <w:szCs w:val="21"/>
                      <w:highlight w:val="none"/>
                    </w:rPr>
                  </w:pPr>
                  <w:r>
                    <w:rPr>
                      <w:rFonts w:hint="eastAsia"/>
                      <w:color w:val="auto"/>
                      <w:szCs w:val="21"/>
                      <w:highlight w:val="none"/>
                    </w:rPr>
                    <w:t>主要污染源或污染工序</w:t>
                  </w:r>
                </w:p>
              </w:tc>
              <w:tc>
                <w:tcPr>
                  <w:tcW w:w="2730" w:type="dxa"/>
                  <w:vAlign w:val="center"/>
                </w:tcPr>
                <w:p>
                  <w:pPr>
                    <w:jc w:val="center"/>
                    <w:rPr>
                      <w:color w:val="auto"/>
                      <w:szCs w:val="21"/>
                      <w:highlight w:val="none"/>
                    </w:rPr>
                  </w:pPr>
                  <w:r>
                    <w:rPr>
                      <w:rFonts w:hint="eastAsia"/>
                      <w:color w:val="auto"/>
                      <w:szCs w:val="21"/>
                      <w:highlight w:val="none"/>
                    </w:rPr>
                    <w:t>主要表征污染物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restart"/>
                  <w:vAlign w:val="center"/>
                </w:tcPr>
                <w:p>
                  <w:pPr>
                    <w:jc w:val="center"/>
                    <w:rPr>
                      <w:color w:val="auto"/>
                      <w:szCs w:val="21"/>
                      <w:highlight w:val="none"/>
                    </w:rPr>
                  </w:pPr>
                  <w:r>
                    <w:rPr>
                      <w:rFonts w:hint="eastAsia"/>
                      <w:color w:val="auto"/>
                      <w:szCs w:val="21"/>
                      <w:highlight w:val="none"/>
                    </w:rPr>
                    <w:t>生产区</w:t>
                  </w:r>
                </w:p>
              </w:tc>
              <w:tc>
                <w:tcPr>
                  <w:tcW w:w="1697" w:type="dxa"/>
                  <w:vAlign w:val="center"/>
                </w:tcPr>
                <w:p>
                  <w:pPr>
                    <w:jc w:val="center"/>
                    <w:rPr>
                      <w:color w:val="auto"/>
                      <w:szCs w:val="21"/>
                      <w:highlight w:val="none"/>
                    </w:rPr>
                  </w:pPr>
                  <w:r>
                    <w:rPr>
                      <w:rFonts w:hint="eastAsia"/>
                      <w:color w:val="auto"/>
                      <w:szCs w:val="21"/>
                      <w:highlight w:val="none"/>
                    </w:rPr>
                    <w:t>噪声</w:t>
                  </w:r>
                </w:p>
              </w:tc>
              <w:tc>
                <w:tcPr>
                  <w:tcW w:w="3211" w:type="dxa"/>
                  <w:vAlign w:val="center"/>
                </w:tcPr>
                <w:p>
                  <w:pPr>
                    <w:jc w:val="center"/>
                    <w:rPr>
                      <w:color w:val="auto"/>
                      <w:szCs w:val="21"/>
                      <w:highlight w:val="none"/>
                    </w:rPr>
                  </w:pPr>
                  <w:r>
                    <w:rPr>
                      <w:rFonts w:hint="eastAsia"/>
                      <w:color w:val="auto"/>
                      <w:szCs w:val="21"/>
                      <w:highlight w:val="none"/>
                    </w:rPr>
                    <w:t>N1：各类生产设备运行</w:t>
                  </w:r>
                </w:p>
              </w:tc>
              <w:tc>
                <w:tcPr>
                  <w:tcW w:w="2730" w:type="dxa"/>
                  <w:vAlign w:val="center"/>
                </w:tcPr>
                <w:p>
                  <w:pPr>
                    <w:jc w:val="center"/>
                    <w:rPr>
                      <w:color w:val="auto"/>
                      <w:szCs w:val="21"/>
                      <w:highlight w:val="none"/>
                    </w:rPr>
                  </w:pPr>
                  <w:r>
                    <w:rPr>
                      <w:rFonts w:hint="eastAsia"/>
                      <w:color w:val="auto"/>
                      <w:szCs w:val="21"/>
                      <w:highlight w:val="none"/>
                    </w:rPr>
                    <w:t>连续等效A声级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restart"/>
                  <w:vAlign w:val="center"/>
                </w:tcPr>
                <w:p>
                  <w:pPr>
                    <w:jc w:val="center"/>
                    <w:rPr>
                      <w:color w:val="auto"/>
                      <w:szCs w:val="21"/>
                      <w:highlight w:val="none"/>
                    </w:rPr>
                  </w:pPr>
                  <w:r>
                    <w:rPr>
                      <w:rFonts w:hint="eastAsia"/>
                      <w:color w:val="auto"/>
                      <w:szCs w:val="21"/>
                      <w:highlight w:val="none"/>
                    </w:rPr>
                    <w:t>废水</w:t>
                  </w:r>
                </w:p>
              </w:tc>
              <w:tc>
                <w:tcPr>
                  <w:tcW w:w="3211" w:type="dxa"/>
                  <w:vAlign w:val="center"/>
                </w:tcPr>
                <w:p>
                  <w:pPr>
                    <w:jc w:val="center"/>
                    <w:rPr>
                      <w:color w:val="auto"/>
                      <w:szCs w:val="21"/>
                      <w:highlight w:val="none"/>
                    </w:rPr>
                  </w:pPr>
                  <w:r>
                    <w:rPr>
                      <w:rFonts w:hint="eastAsia"/>
                      <w:color w:val="auto"/>
                      <w:szCs w:val="21"/>
                      <w:highlight w:val="none"/>
                    </w:rPr>
                    <w:t>W1：抛光、喷砂废水</w:t>
                  </w:r>
                </w:p>
              </w:tc>
              <w:tc>
                <w:tcPr>
                  <w:tcW w:w="2730" w:type="dxa"/>
                  <w:vAlign w:val="center"/>
                </w:tcPr>
                <w:p>
                  <w:pPr>
                    <w:jc w:val="center"/>
                    <w:rPr>
                      <w:color w:val="auto"/>
                      <w:szCs w:val="21"/>
                      <w:highlight w:val="none"/>
                    </w:rPr>
                  </w:pPr>
                  <w:r>
                    <w:rPr>
                      <w:rFonts w:hint="eastAsia"/>
                      <w:color w:val="auto"/>
                      <w:szCs w:val="21"/>
                      <w:highlight w:val="none"/>
                    </w:rPr>
                    <w:t>SS、石油类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W2：生产车间拖地废水</w:t>
                  </w:r>
                </w:p>
              </w:tc>
              <w:tc>
                <w:tcPr>
                  <w:tcW w:w="2730" w:type="dxa"/>
                  <w:vAlign w:val="center"/>
                </w:tcPr>
                <w:p>
                  <w:pPr>
                    <w:jc w:val="center"/>
                    <w:rPr>
                      <w:color w:val="auto"/>
                      <w:szCs w:val="21"/>
                      <w:highlight w:val="none"/>
                    </w:rPr>
                  </w:pPr>
                  <w:r>
                    <w:rPr>
                      <w:rFonts w:hint="eastAsia"/>
                      <w:color w:val="auto"/>
                      <w:szCs w:val="21"/>
                      <w:highlight w:val="none"/>
                    </w:rPr>
                    <w:t>SS、石油类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restart"/>
                  <w:vAlign w:val="center"/>
                </w:tcPr>
                <w:p>
                  <w:pPr>
                    <w:jc w:val="center"/>
                    <w:rPr>
                      <w:color w:val="auto"/>
                      <w:szCs w:val="21"/>
                      <w:highlight w:val="none"/>
                    </w:rPr>
                  </w:pPr>
                  <w:r>
                    <w:rPr>
                      <w:rFonts w:hint="eastAsia"/>
                      <w:color w:val="auto"/>
                      <w:szCs w:val="21"/>
                      <w:highlight w:val="none"/>
                    </w:rPr>
                    <w:t>固体废弃物</w:t>
                  </w:r>
                </w:p>
              </w:tc>
              <w:tc>
                <w:tcPr>
                  <w:tcW w:w="3211" w:type="dxa"/>
                  <w:vAlign w:val="center"/>
                </w:tcPr>
                <w:p>
                  <w:pPr>
                    <w:jc w:val="center"/>
                    <w:rPr>
                      <w:color w:val="auto"/>
                      <w:szCs w:val="21"/>
                      <w:highlight w:val="none"/>
                    </w:rPr>
                  </w:pPr>
                  <w:r>
                    <w:rPr>
                      <w:rFonts w:hint="eastAsia"/>
                      <w:color w:val="auto"/>
                      <w:szCs w:val="21"/>
                      <w:highlight w:val="none"/>
                    </w:rPr>
                    <w:t>S1：各类机加工工序</w:t>
                  </w:r>
                </w:p>
              </w:tc>
              <w:tc>
                <w:tcPr>
                  <w:tcW w:w="2730" w:type="dxa"/>
                  <w:vAlign w:val="center"/>
                </w:tcPr>
                <w:p>
                  <w:pPr>
                    <w:jc w:val="center"/>
                    <w:rPr>
                      <w:color w:val="auto"/>
                      <w:szCs w:val="21"/>
                      <w:highlight w:val="none"/>
                    </w:rPr>
                  </w:pPr>
                  <w:r>
                    <w:rPr>
                      <w:rFonts w:hint="eastAsia"/>
                      <w:color w:val="auto"/>
                      <w:szCs w:val="21"/>
                      <w:highlight w:val="none"/>
                    </w:rPr>
                    <w:t>钢铁及塑料边角废料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S2：质检工序</w:t>
                  </w:r>
                </w:p>
              </w:tc>
              <w:tc>
                <w:tcPr>
                  <w:tcW w:w="2730" w:type="dxa"/>
                  <w:vAlign w:val="center"/>
                </w:tcPr>
                <w:p>
                  <w:pPr>
                    <w:jc w:val="center"/>
                    <w:rPr>
                      <w:color w:val="auto"/>
                      <w:szCs w:val="21"/>
                      <w:highlight w:val="none"/>
                    </w:rPr>
                  </w:pPr>
                  <w:r>
                    <w:rPr>
                      <w:rFonts w:hint="eastAsia"/>
                      <w:color w:val="auto"/>
                      <w:szCs w:val="21"/>
                      <w:highlight w:val="none"/>
                    </w:rPr>
                    <w:t>残次品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S3：去毛刺废渣</w:t>
                  </w:r>
                </w:p>
              </w:tc>
              <w:tc>
                <w:tcPr>
                  <w:tcW w:w="2730" w:type="dxa"/>
                  <w:vAlign w:val="center"/>
                </w:tcPr>
                <w:p>
                  <w:pPr>
                    <w:jc w:val="center"/>
                    <w:rPr>
                      <w:color w:val="auto"/>
                      <w:szCs w:val="21"/>
                      <w:highlight w:val="none"/>
                    </w:rPr>
                  </w:pPr>
                  <w:r>
                    <w:rPr>
                      <w:rFonts w:hint="eastAsia"/>
                      <w:color w:val="auto"/>
                      <w:szCs w:val="21"/>
                      <w:highlight w:val="none"/>
                    </w:rPr>
                    <w:t>氢氧化铁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S4：车削、磨削等设备</w:t>
                  </w:r>
                </w:p>
              </w:tc>
              <w:tc>
                <w:tcPr>
                  <w:tcW w:w="2730" w:type="dxa"/>
                  <w:vAlign w:val="center"/>
                </w:tcPr>
                <w:p>
                  <w:pPr>
                    <w:jc w:val="center"/>
                    <w:rPr>
                      <w:color w:val="auto"/>
                      <w:szCs w:val="21"/>
                      <w:highlight w:val="none"/>
                    </w:rPr>
                  </w:pPr>
                  <w:r>
                    <w:rPr>
                      <w:rFonts w:hint="eastAsia"/>
                      <w:color w:val="auto"/>
                      <w:szCs w:val="21"/>
                      <w:highlight w:val="none"/>
                    </w:rPr>
                    <w:t>废乳化液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S5：各类机加工设备</w:t>
                  </w:r>
                </w:p>
              </w:tc>
              <w:tc>
                <w:tcPr>
                  <w:tcW w:w="2730" w:type="dxa"/>
                  <w:vAlign w:val="center"/>
                </w:tcPr>
                <w:p>
                  <w:pPr>
                    <w:jc w:val="center"/>
                    <w:rPr>
                      <w:color w:val="auto"/>
                      <w:szCs w:val="21"/>
                      <w:highlight w:val="none"/>
                    </w:rPr>
                  </w:pPr>
                  <w:r>
                    <w:rPr>
                      <w:rFonts w:hint="eastAsia"/>
                      <w:color w:val="auto"/>
                      <w:szCs w:val="21"/>
                      <w:highlight w:val="none"/>
                    </w:rPr>
                    <w:t>机油、冲压油、磨削油等各类废油脂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S6：清洗废液</w:t>
                  </w:r>
                </w:p>
              </w:tc>
              <w:tc>
                <w:tcPr>
                  <w:tcW w:w="2730" w:type="dxa"/>
                  <w:vAlign w:val="center"/>
                </w:tcPr>
                <w:p>
                  <w:pPr>
                    <w:jc w:val="center"/>
                    <w:rPr>
                      <w:color w:val="auto"/>
                      <w:szCs w:val="21"/>
                      <w:highlight w:val="none"/>
                    </w:rPr>
                  </w:pPr>
                  <w:r>
                    <w:rPr>
                      <w:rFonts w:hint="eastAsia"/>
                      <w:color w:val="auto"/>
                      <w:szCs w:val="21"/>
                      <w:highlight w:val="none"/>
                    </w:rPr>
                    <w:t>轻质石油（086及053）混合液、硝酸溶液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S7：油雾净化器</w:t>
                  </w:r>
                </w:p>
              </w:tc>
              <w:tc>
                <w:tcPr>
                  <w:tcW w:w="2730" w:type="dxa"/>
                  <w:vAlign w:val="center"/>
                </w:tcPr>
                <w:p>
                  <w:pPr>
                    <w:jc w:val="center"/>
                    <w:rPr>
                      <w:color w:val="auto"/>
                      <w:szCs w:val="21"/>
                      <w:highlight w:val="none"/>
                    </w:rPr>
                  </w:pPr>
                  <w:r>
                    <w:rPr>
                      <w:rFonts w:hint="eastAsia"/>
                      <w:color w:val="auto"/>
                      <w:szCs w:val="21"/>
                      <w:highlight w:val="none"/>
                    </w:rPr>
                    <w:t>淬火油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restart"/>
                  <w:vAlign w:val="center"/>
                </w:tcPr>
                <w:p>
                  <w:pPr>
                    <w:jc w:val="center"/>
                    <w:rPr>
                      <w:color w:val="auto"/>
                      <w:szCs w:val="21"/>
                      <w:highlight w:val="none"/>
                    </w:rPr>
                  </w:pPr>
                  <w:r>
                    <w:rPr>
                      <w:rFonts w:hint="eastAsia"/>
                      <w:color w:val="auto"/>
                      <w:szCs w:val="21"/>
                      <w:highlight w:val="none"/>
                    </w:rPr>
                    <w:t>废气</w:t>
                  </w:r>
                </w:p>
              </w:tc>
              <w:tc>
                <w:tcPr>
                  <w:tcW w:w="3211" w:type="dxa"/>
                  <w:vAlign w:val="center"/>
                </w:tcPr>
                <w:p>
                  <w:pPr>
                    <w:jc w:val="center"/>
                    <w:rPr>
                      <w:color w:val="auto"/>
                      <w:szCs w:val="21"/>
                      <w:highlight w:val="none"/>
                    </w:rPr>
                  </w:pPr>
                  <w:r>
                    <w:rPr>
                      <w:rFonts w:hint="eastAsia"/>
                      <w:color w:val="auto"/>
                      <w:szCs w:val="21"/>
                      <w:highlight w:val="none"/>
                    </w:rPr>
                    <w:t>A1：清洗废气</w:t>
                  </w:r>
                </w:p>
              </w:tc>
              <w:tc>
                <w:tcPr>
                  <w:tcW w:w="2730" w:type="dxa"/>
                  <w:vAlign w:val="center"/>
                </w:tcPr>
                <w:p>
                  <w:pPr>
                    <w:jc w:val="center"/>
                    <w:rPr>
                      <w:color w:val="auto"/>
                      <w:szCs w:val="21"/>
                      <w:highlight w:val="none"/>
                    </w:rPr>
                  </w:pPr>
                  <w:r>
                    <w:rPr>
                      <w:rFonts w:hint="eastAsia"/>
                      <w:color w:val="auto"/>
                      <w:szCs w:val="21"/>
                      <w:highlight w:val="none"/>
                    </w:rPr>
                    <w:t>HNO</w:t>
                  </w:r>
                  <w:r>
                    <w:rPr>
                      <w:rFonts w:hint="eastAsia"/>
                      <w:color w:val="auto"/>
                      <w:szCs w:val="21"/>
                      <w:highlight w:val="none"/>
                      <w:vertAlign w:val="subscript"/>
                    </w:rPr>
                    <w:t>3</w:t>
                  </w:r>
                  <w:r>
                    <w:rPr>
                      <w:rFonts w:hint="eastAsia"/>
                      <w:color w:val="auto"/>
                      <w:szCs w:val="21"/>
                      <w:highlight w:val="none"/>
                    </w:rPr>
                    <w:t>酸雾、挥发性有机化合物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A2：热处理废气</w:t>
                  </w:r>
                </w:p>
              </w:tc>
              <w:tc>
                <w:tcPr>
                  <w:tcW w:w="2730" w:type="dxa"/>
                  <w:vAlign w:val="center"/>
                </w:tcPr>
                <w:p>
                  <w:pPr>
                    <w:jc w:val="center"/>
                    <w:rPr>
                      <w:color w:val="auto"/>
                      <w:szCs w:val="21"/>
                      <w:highlight w:val="none"/>
                    </w:rPr>
                  </w:pPr>
                  <w:r>
                    <w:rPr>
                      <w:rFonts w:hint="eastAsia"/>
                      <w:color w:val="auto"/>
                      <w:szCs w:val="21"/>
                      <w:highlight w:val="none"/>
                    </w:rPr>
                    <w:t>非甲烷总烃、氮氧化物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A3：注塑废气</w:t>
                  </w:r>
                </w:p>
              </w:tc>
              <w:tc>
                <w:tcPr>
                  <w:tcW w:w="2730" w:type="dxa"/>
                  <w:vAlign w:val="center"/>
                </w:tcPr>
                <w:p>
                  <w:pPr>
                    <w:jc w:val="center"/>
                    <w:rPr>
                      <w:color w:val="auto"/>
                      <w:szCs w:val="21"/>
                      <w:highlight w:val="none"/>
                    </w:rPr>
                  </w:pPr>
                  <w:r>
                    <w:rPr>
                      <w:rFonts w:hint="eastAsia"/>
                      <w:color w:val="auto"/>
                      <w:szCs w:val="21"/>
                      <w:highlight w:val="none"/>
                    </w:rPr>
                    <w:t>挥发性有机化合物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restart"/>
                  <w:vAlign w:val="center"/>
                </w:tcPr>
                <w:p>
                  <w:pPr>
                    <w:jc w:val="center"/>
                    <w:rPr>
                      <w:color w:val="auto"/>
                      <w:szCs w:val="21"/>
                      <w:highlight w:val="none"/>
                    </w:rPr>
                  </w:pPr>
                  <w:r>
                    <w:rPr>
                      <w:rFonts w:hint="eastAsia"/>
                      <w:color w:val="auto"/>
                      <w:szCs w:val="21"/>
                      <w:highlight w:val="none"/>
                    </w:rPr>
                    <w:t>生活区</w:t>
                  </w:r>
                </w:p>
              </w:tc>
              <w:tc>
                <w:tcPr>
                  <w:tcW w:w="1697" w:type="dxa"/>
                  <w:vAlign w:val="center"/>
                </w:tcPr>
                <w:p>
                  <w:pPr>
                    <w:jc w:val="center"/>
                    <w:rPr>
                      <w:color w:val="auto"/>
                      <w:szCs w:val="21"/>
                      <w:highlight w:val="none"/>
                    </w:rPr>
                  </w:pPr>
                  <w:r>
                    <w:rPr>
                      <w:rFonts w:hint="eastAsia"/>
                      <w:color w:val="auto"/>
                      <w:szCs w:val="21"/>
                      <w:highlight w:val="none"/>
                    </w:rPr>
                    <w:t>噪声</w:t>
                  </w:r>
                </w:p>
              </w:tc>
              <w:tc>
                <w:tcPr>
                  <w:tcW w:w="3211" w:type="dxa"/>
                  <w:vAlign w:val="center"/>
                </w:tcPr>
                <w:p>
                  <w:pPr>
                    <w:jc w:val="center"/>
                    <w:rPr>
                      <w:color w:val="auto"/>
                      <w:szCs w:val="21"/>
                      <w:highlight w:val="none"/>
                    </w:rPr>
                  </w:pPr>
                  <w:r>
                    <w:rPr>
                      <w:rFonts w:hint="eastAsia"/>
                      <w:color w:val="auto"/>
                      <w:szCs w:val="21"/>
                      <w:highlight w:val="none"/>
                    </w:rPr>
                    <w:t>N2：各类生活设备运行</w:t>
                  </w:r>
                </w:p>
              </w:tc>
              <w:tc>
                <w:tcPr>
                  <w:tcW w:w="2730" w:type="dxa"/>
                  <w:vAlign w:val="center"/>
                </w:tcPr>
                <w:p>
                  <w:pPr>
                    <w:jc w:val="center"/>
                    <w:rPr>
                      <w:color w:val="auto"/>
                      <w:szCs w:val="21"/>
                      <w:highlight w:val="none"/>
                    </w:rPr>
                  </w:pPr>
                  <w:r>
                    <w:rPr>
                      <w:rFonts w:hint="eastAsia"/>
                      <w:color w:val="auto"/>
                      <w:szCs w:val="21"/>
                      <w:highlight w:val="none"/>
                    </w:rPr>
                    <w:t>连续等效A声级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restart"/>
                  <w:vAlign w:val="center"/>
                </w:tcPr>
                <w:p>
                  <w:pPr>
                    <w:jc w:val="center"/>
                    <w:rPr>
                      <w:color w:val="auto"/>
                      <w:szCs w:val="21"/>
                      <w:highlight w:val="none"/>
                    </w:rPr>
                  </w:pPr>
                  <w:r>
                    <w:rPr>
                      <w:rFonts w:hint="eastAsia"/>
                      <w:color w:val="auto"/>
                      <w:szCs w:val="21"/>
                      <w:highlight w:val="none"/>
                    </w:rPr>
                    <w:t>固体废弃物</w:t>
                  </w:r>
                </w:p>
              </w:tc>
              <w:tc>
                <w:tcPr>
                  <w:tcW w:w="3211" w:type="dxa"/>
                  <w:vAlign w:val="center"/>
                </w:tcPr>
                <w:p>
                  <w:pPr>
                    <w:jc w:val="center"/>
                    <w:rPr>
                      <w:color w:val="auto"/>
                      <w:szCs w:val="21"/>
                      <w:highlight w:val="none"/>
                    </w:rPr>
                  </w:pPr>
                  <w:r>
                    <w:rPr>
                      <w:rFonts w:hint="eastAsia"/>
                      <w:color w:val="auto"/>
                      <w:szCs w:val="21"/>
                      <w:highlight w:val="none"/>
                    </w:rPr>
                    <w:t>S7：员工生活、办公</w:t>
                  </w:r>
                </w:p>
              </w:tc>
              <w:tc>
                <w:tcPr>
                  <w:tcW w:w="2730" w:type="dxa"/>
                  <w:vAlign w:val="center"/>
                </w:tcPr>
                <w:p>
                  <w:pPr>
                    <w:jc w:val="center"/>
                    <w:rPr>
                      <w:color w:val="auto"/>
                      <w:szCs w:val="21"/>
                      <w:highlight w:val="none"/>
                    </w:rPr>
                  </w:pPr>
                  <w:r>
                    <w:rPr>
                      <w:rFonts w:hint="eastAsia"/>
                      <w:color w:val="auto"/>
                      <w:szCs w:val="21"/>
                      <w:highlight w:val="none"/>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rFonts w:hint="eastAsia"/>
                      <w:color w:val="auto"/>
                      <w:szCs w:val="21"/>
                      <w:highlight w:val="none"/>
                    </w:rPr>
                    <w:t>S8：隔油池等</w:t>
                  </w:r>
                </w:p>
              </w:tc>
              <w:tc>
                <w:tcPr>
                  <w:tcW w:w="2730" w:type="dxa"/>
                  <w:vAlign w:val="center"/>
                </w:tcPr>
                <w:p>
                  <w:pPr>
                    <w:jc w:val="center"/>
                    <w:rPr>
                      <w:color w:val="auto"/>
                      <w:szCs w:val="21"/>
                      <w:highlight w:val="none"/>
                    </w:rPr>
                  </w:pPr>
                  <w:r>
                    <w:rPr>
                      <w:rFonts w:hint="eastAsia"/>
                      <w:color w:val="auto"/>
                      <w:szCs w:val="21"/>
                      <w:highlight w:val="none"/>
                    </w:rPr>
                    <w:t>废油脂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Align w:val="center"/>
                </w:tcPr>
                <w:p>
                  <w:pPr>
                    <w:jc w:val="center"/>
                    <w:rPr>
                      <w:color w:val="auto"/>
                      <w:szCs w:val="21"/>
                      <w:highlight w:val="none"/>
                    </w:rPr>
                  </w:pPr>
                  <w:r>
                    <w:rPr>
                      <w:rFonts w:hint="eastAsia"/>
                      <w:color w:val="auto"/>
                      <w:szCs w:val="21"/>
                      <w:highlight w:val="none"/>
                    </w:rPr>
                    <w:t>废气</w:t>
                  </w:r>
                </w:p>
              </w:tc>
              <w:tc>
                <w:tcPr>
                  <w:tcW w:w="3211" w:type="dxa"/>
                  <w:vAlign w:val="center"/>
                </w:tcPr>
                <w:p>
                  <w:pPr>
                    <w:jc w:val="center"/>
                    <w:rPr>
                      <w:color w:val="auto"/>
                      <w:szCs w:val="21"/>
                      <w:highlight w:val="none"/>
                    </w:rPr>
                  </w:pPr>
                  <w:r>
                    <w:rPr>
                      <w:rFonts w:hint="eastAsia"/>
                      <w:color w:val="auto"/>
                      <w:szCs w:val="21"/>
                      <w:highlight w:val="none"/>
                    </w:rPr>
                    <w:t>A4：厨房废气</w:t>
                  </w:r>
                </w:p>
              </w:tc>
              <w:tc>
                <w:tcPr>
                  <w:tcW w:w="2730" w:type="dxa"/>
                  <w:vAlign w:val="center"/>
                </w:tcPr>
                <w:p>
                  <w:pPr>
                    <w:jc w:val="center"/>
                    <w:rPr>
                      <w:color w:val="auto"/>
                      <w:szCs w:val="21"/>
                      <w:highlight w:val="none"/>
                    </w:rPr>
                  </w:pPr>
                  <w:r>
                    <w:rPr>
                      <w:rFonts w:hint="eastAsia"/>
                      <w:color w:val="auto"/>
                      <w:szCs w:val="21"/>
                      <w:highlight w:val="none"/>
                    </w:rPr>
                    <w:t>油烟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96" w:type="dxa"/>
                  <w:vMerge w:val="continue"/>
                  <w:vAlign w:val="center"/>
                </w:tcPr>
                <w:p>
                  <w:pPr>
                    <w:jc w:val="center"/>
                    <w:rPr>
                      <w:color w:val="auto"/>
                      <w:szCs w:val="21"/>
                      <w:highlight w:val="none"/>
                    </w:rPr>
                  </w:pPr>
                </w:p>
              </w:tc>
              <w:tc>
                <w:tcPr>
                  <w:tcW w:w="1697" w:type="dxa"/>
                  <w:vAlign w:val="center"/>
                </w:tcPr>
                <w:p>
                  <w:pPr>
                    <w:jc w:val="center"/>
                    <w:rPr>
                      <w:color w:val="auto"/>
                      <w:szCs w:val="21"/>
                      <w:highlight w:val="none"/>
                    </w:rPr>
                  </w:pPr>
                  <w:r>
                    <w:rPr>
                      <w:rFonts w:hint="eastAsia"/>
                      <w:color w:val="auto"/>
                      <w:szCs w:val="21"/>
                      <w:highlight w:val="none"/>
                    </w:rPr>
                    <w:t>废水</w:t>
                  </w:r>
                </w:p>
              </w:tc>
              <w:tc>
                <w:tcPr>
                  <w:tcW w:w="3211" w:type="dxa"/>
                  <w:vAlign w:val="center"/>
                </w:tcPr>
                <w:p>
                  <w:pPr>
                    <w:jc w:val="center"/>
                    <w:rPr>
                      <w:color w:val="auto"/>
                      <w:szCs w:val="21"/>
                      <w:highlight w:val="none"/>
                    </w:rPr>
                  </w:pPr>
                  <w:r>
                    <w:rPr>
                      <w:rFonts w:hint="eastAsia"/>
                      <w:color w:val="auto"/>
                      <w:szCs w:val="21"/>
                      <w:highlight w:val="none"/>
                    </w:rPr>
                    <w:t>W3：员工生活、办公</w:t>
                  </w:r>
                </w:p>
              </w:tc>
              <w:tc>
                <w:tcPr>
                  <w:tcW w:w="2730" w:type="dxa"/>
                  <w:vAlign w:val="center"/>
                </w:tcPr>
                <w:p>
                  <w:pPr>
                    <w:jc w:val="center"/>
                    <w:rPr>
                      <w:color w:val="auto"/>
                      <w:szCs w:val="21"/>
                      <w:highlight w:val="none"/>
                    </w:rPr>
                  </w:pPr>
                  <w:r>
                    <w:rPr>
                      <w:rFonts w:hint="eastAsia"/>
                      <w:color w:val="auto"/>
                      <w:szCs w:val="21"/>
                      <w:highlight w:val="none"/>
                    </w:rPr>
                    <w:t>COD、BOD</w:t>
                  </w:r>
                  <w:r>
                    <w:rPr>
                      <w:rFonts w:hint="eastAsia"/>
                      <w:color w:val="auto"/>
                      <w:szCs w:val="21"/>
                      <w:highlight w:val="none"/>
                      <w:vertAlign w:val="subscript"/>
                    </w:rPr>
                    <w:t>5</w:t>
                  </w:r>
                  <w:r>
                    <w:rPr>
                      <w:rFonts w:hint="eastAsia"/>
                      <w:color w:val="auto"/>
                      <w:szCs w:val="21"/>
                      <w:highlight w:val="none"/>
                    </w:rPr>
                    <w:t>、SS、NH</w:t>
                  </w:r>
                  <w:r>
                    <w:rPr>
                      <w:rFonts w:hint="eastAsia"/>
                      <w:color w:val="auto"/>
                      <w:szCs w:val="21"/>
                      <w:highlight w:val="none"/>
                      <w:vertAlign w:val="subscript"/>
                    </w:rPr>
                    <w:t>3</w:t>
                  </w:r>
                  <w:r>
                    <w:rPr>
                      <w:rFonts w:hint="eastAsia"/>
                      <w:color w:val="auto"/>
                      <w:szCs w:val="21"/>
                      <w:highlight w:val="none"/>
                    </w:rPr>
                    <w:t>-N、动植物油</w:t>
                  </w:r>
                </w:p>
              </w:tc>
            </w:tr>
          </w:tbl>
          <w:p>
            <w:pPr>
              <w:ind w:firstLine="480" w:firstLineChars="200"/>
              <w:rPr>
                <w:color w:val="auto"/>
                <w:sz w:val="24"/>
                <w:highlight w:val="none"/>
              </w:rPr>
            </w:pP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 xml:space="preserve">5.2 </w:t>
            </w:r>
            <w:r>
              <w:rPr>
                <w:rFonts w:ascii="宋体" w:hAnsi="宋体"/>
                <w:b/>
                <w:bCs/>
                <w:color w:val="auto"/>
                <w:spacing w:val="-8"/>
                <w:sz w:val="28"/>
                <w:szCs w:val="28"/>
                <w:highlight w:val="none"/>
              </w:rPr>
              <w:t>施工期主要污染</w:t>
            </w:r>
            <w:r>
              <w:rPr>
                <w:rFonts w:hint="eastAsia" w:ascii="宋体" w:hAnsi="宋体"/>
                <w:b/>
                <w:bCs/>
                <w:color w:val="auto"/>
                <w:spacing w:val="-8"/>
                <w:sz w:val="28"/>
                <w:szCs w:val="28"/>
                <w:highlight w:val="none"/>
              </w:rPr>
              <w:t>源</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 xml:space="preserve">5.2.1 </w:t>
            </w:r>
            <w:r>
              <w:rPr>
                <w:b/>
                <w:color w:val="auto"/>
                <w:spacing w:val="4"/>
                <w:sz w:val="24"/>
                <w:szCs w:val="24"/>
                <w:highlight w:val="none"/>
              </w:rPr>
              <w:t>噪声</w:t>
            </w:r>
          </w:p>
          <w:p>
            <w:pPr>
              <w:spacing w:line="360" w:lineRule="auto"/>
              <w:ind w:firstLine="480" w:firstLineChars="200"/>
              <w:rPr>
                <w:color w:val="auto"/>
                <w:sz w:val="24"/>
                <w:highlight w:val="none"/>
              </w:rPr>
            </w:pPr>
            <w:r>
              <w:rPr>
                <w:color w:val="auto"/>
                <w:sz w:val="24"/>
                <w:highlight w:val="none"/>
              </w:rPr>
              <w:t>施工期噪声主要来源于各种建设机械和运输车辆噪声，各施工阶段的主要产噪机械设备、运输车辆及其声级值</w:t>
            </w:r>
            <w:r>
              <w:rPr>
                <w:rFonts w:hint="eastAsia"/>
                <w:color w:val="auto"/>
                <w:sz w:val="24"/>
                <w:highlight w:val="none"/>
              </w:rPr>
              <w:t>见表5-2：</w:t>
            </w:r>
          </w:p>
          <w:p>
            <w:pPr>
              <w:snapToGrid w:val="0"/>
              <w:spacing w:line="360" w:lineRule="auto"/>
              <w:jc w:val="center"/>
              <w:rPr>
                <w:b/>
                <w:color w:val="auto"/>
                <w:sz w:val="24"/>
                <w:highlight w:val="none"/>
              </w:rPr>
            </w:pPr>
            <w:r>
              <w:rPr>
                <w:rFonts w:hint="eastAsia"/>
                <w:b/>
                <w:color w:val="auto"/>
                <w:sz w:val="24"/>
                <w:highlight w:val="none"/>
              </w:rPr>
              <w:t>表5-2  施工期主要噪声源及源强</w:t>
            </w:r>
          </w:p>
          <w:tbl>
            <w:tblPr>
              <w:tblStyle w:val="29"/>
              <w:tblW w:w="933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93"/>
              <w:gridCol w:w="3211"/>
              <w:gridCol w:w="27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Align w:val="center"/>
                </w:tcPr>
                <w:p>
                  <w:pPr>
                    <w:jc w:val="center"/>
                    <w:rPr>
                      <w:color w:val="auto"/>
                      <w:szCs w:val="21"/>
                      <w:highlight w:val="none"/>
                    </w:rPr>
                  </w:pPr>
                  <w:r>
                    <w:rPr>
                      <w:color w:val="auto"/>
                      <w:szCs w:val="21"/>
                      <w:highlight w:val="none"/>
                    </w:rPr>
                    <w:t>施工阶段</w:t>
                  </w:r>
                </w:p>
              </w:tc>
              <w:tc>
                <w:tcPr>
                  <w:tcW w:w="3211" w:type="dxa"/>
                  <w:vAlign w:val="center"/>
                </w:tcPr>
                <w:p>
                  <w:pPr>
                    <w:jc w:val="center"/>
                    <w:rPr>
                      <w:color w:val="auto"/>
                      <w:szCs w:val="21"/>
                      <w:highlight w:val="none"/>
                    </w:rPr>
                  </w:pPr>
                  <w:r>
                    <w:rPr>
                      <w:color w:val="auto"/>
                      <w:szCs w:val="21"/>
                      <w:highlight w:val="none"/>
                    </w:rPr>
                    <w:t>声源</w:t>
                  </w:r>
                </w:p>
              </w:tc>
              <w:tc>
                <w:tcPr>
                  <w:tcW w:w="2730" w:type="dxa"/>
                  <w:vAlign w:val="center"/>
                </w:tcPr>
                <w:p>
                  <w:pPr>
                    <w:jc w:val="center"/>
                    <w:rPr>
                      <w:color w:val="auto"/>
                      <w:szCs w:val="21"/>
                      <w:highlight w:val="none"/>
                    </w:rPr>
                  </w:pPr>
                  <w:r>
                    <w:rPr>
                      <w:color w:val="auto"/>
                      <w:szCs w:val="21"/>
                      <w:highlight w:val="none"/>
                    </w:rPr>
                    <w:t>声源强度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restart"/>
                  <w:vAlign w:val="center"/>
                </w:tcPr>
                <w:p>
                  <w:pPr>
                    <w:jc w:val="center"/>
                    <w:rPr>
                      <w:color w:val="auto"/>
                      <w:szCs w:val="21"/>
                      <w:highlight w:val="none"/>
                    </w:rPr>
                  </w:pPr>
                  <w:r>
                    <w:rPr>
                      <w:color w:val="auto"/>
                      <w:szCs w:val="21"/>
                      <w:highlight w:val="none"/>
                    </w:rPr>
                    <w:t>土石方及基础施工阶段</w:t>
                  </w:r>
                </w:p>
              </w:tc>
              <w:tc>
                <w:tcPr>
                  <w:tcW w:w="3211" w:type="dxa"/>
                  <w:vAlign w:val="center"/>
                </w:tcPr>
                <w:p>
                  <w:pPr>
                    <w:jc w:val="center"/>
                    <w:rPr>
                      <w:color w:val="auto"/>
                      <w:szCs w:val="21"/>
                      <w:highlight w:val="none"/>
                    </w:rPr>
                  </w:pPr>
                  <w:r>
                    <w:rPr>
                      <w:color w:val="auto"/>
                      <w:szCs w:val="21"/>
                      <w:highlight w:val="none"/>
                    </w:rPr>
                    <w:t>挖掘机</w:t>
                  </w:r>
                </w:p>
              </w:tc>
              <w:tc>
                <w:tcPr>
                  <w:tcW w:w="2730" w:type="dxa"/>
                  <w:vAlign w:val="center"/>
                </w:tcPr>
                <w:p>
                  <w:pPr>
                    <w:jc w:val="center"/>
                    <w:rPr>
                      <w:color w:val="auto"/>
                      <w:szCs w:val="21"/>
                      <w:highlight w:val="none"/>
                    </w:rPr>
                  </w:pPr>
                  <w:r>
                    <w:rPr>
                      <w:color w:val="auto"/>
                      <w:szCs w:val="21"/>
                      <w:highlight w:val="none"/>
                    </w:rPr>
                    <w:t>75-83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color w:val="auto"/>
                      <w:szCs w:val="21"/>
                      <w:highlight w:val="none"/>
                    </w:rPr>
                    <w:t>推土机</w:t>
                  </w:r>
                </w:p>
              </w:tc>
              <w:tc>
                <w:tcPr>
                  <w:tcW w:w="2730" w:type="dxa"/>
                  <w:vAlign w:val="center"/>
                </w:tcPr>
                <w:p>
                  <w:pPr>
                    <w:jc w:val="center"/>
                    <w:rPr>
                      <w:color w:val="auto"/>
                      <w:szCs w:val="21"/>
                      <w:highlight w:val="none"/>
                    </w:rPr>
                  </w:pPr>
                  <w:r>
                    <w:rPr>
                      <w:color w:val="auto"/>
                      <w:szCs w:val="21"/>
                      <w:highlight w:val="none"/>
                    </w:rPr>
                    <w:t>80-85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color w:val="auto"/>
                      <w:szCs w:val="21"/>
                      <w:highlight w:val="none"/>
                    </w:rPr>
                    <w:t>空压机</w:t>
                  </w:r>
                </w:p>
              </w:tc>
              <w:tc>
                <w:tcPr>
                  <w:tcW w:w="2730" w:type="dxa"/>
                  <w:vAlign w:val="center"/>
                </w:tcPr>
                <w:p>
                  <w:pPr>
                    <w:jc w:val="center"/>
                    <w:rPr>
                      <w:color w:val="auto"/>
                      <w:szCs w:val="21"/>
                      <w:highlight w:val="none"/>
                    </w:rPr>
                  </w:pPr>
                  <w:r>
                    <w:rPr>
                      <w:color w:val="auto"/>
                      <w:szCs w:val="21"/>
                      <w:highlight w:val="none"/>
                    </w:rPr>
                    <w:t>83-88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color w:val="auto"/>
                      <w:szCs w:val="21"/>
                      <w:highlight w:val="none"/>
                    </w:rPr>
                    <w:t>打桩机</w:t>
                  </w:r>
                </w:p>
              </w:tc>
              <w:tc>
                <w:tcPr>
                  <w:tcW w:w="2730" w:type="dxa"/>
                  <w:vAlign w:val="center"/>
                </w:tcPr>
                <w:p>
                  <w:pPr>
                    <w:jc w:val="center"/>
                    <w:rPr>
                      <w:color w:val="auto"/>
                      <w:szCs w:val="21"/>
                      <w:highlight w:val="none"/>
                    </w:rPr>
                  </w:pPr>
                  <w:r>
                    <w:rPr>
                      <w:color w:val="auto"/>
                      <w:szCs w:val="21"/>
                      <w:highlight w:val="none"/>
                    </w:rPr>
                    <w:t>95-105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restart"/>
                  <w:vAlign w:val="center"/>
                </w:tcPr>
                <w:p>
                  <w:pPr>
                    <w:jc w:val="center"/>
                    <w:rPr>
                      <w:color w:val="auto"/>
                      <w:szCs w:val="21"/>
                      <w:highlight w:val="none"/>
                    </w:rPr>
                  </w:pPr>
                  <w:r>
                    <w:rPr>
                      <w:color w:val="auto"/>
                      <w:szCs w:val="21"/>
                      <w:highlight w:val="none"/>
                    </w:rPr>
                    <w:t>结构施工阶段</w:t>
                  </w:r>
                </w:p>
              </w:tc>
              <w:tc>
                <w:tcPr>
                  <w:tcW w:w="3211" w:type="dxa"/>
                  <w:vAlign w:val="center"/>
                </w:tcPr>
                <w:p>
                  <w:pPr>
                    <w:jc w:val="center"/>
                    <w:rPr>
                      <w:color w:val="auto"/>
                      <w:szCs w:val="21"/>
                      <w:highlight w:val="none"/>
                    </w:rPr>
                  </w:pPr>
                  <w:r>
                    <w:rPr>
                      <w:color w:val="auto"/>
                      <w:szCs w:val="21"/>
                      <w:highlight w:val="none"/>
                    </w:rPr>
                    <w:t>电焊机</w:t>
                  </w:r>
                </w:p>
              </w:tc>
              <w:tc>
                <w:tcPr>
                  <w:tcW w:w="2730" w:type="dxa"/>
                  <w:vAlign w:val="center"/>
                </w:tcPr>
                <w:p>
                  <w:pPr>
                    <w:jc w:val="center"/>
                    <w:rPr>
                      <w:color w:val="auto"/>
                      <w:szCs w:val="21"/>
                      <w:highlight w:val="none"/>
                    </w:rPr>
                  </w:pPr>
                  <w:r>
                    <w:rPr>
                      <w:color w:val="auto"/>
                      <w:szCs w:val="21"/>
                      <w:highlight w:val="none"/>
                    </w:rPr>
                    <w:t>70-80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color w:val="auto"/>
                      <w:szCs w:val="21"/>
                      <w:highlight w:val="none"/>
                    </w:rPr>
                    <w:t>塔吊</w:t>
                  </w:r>
                </w:p>
              </w:tc>
              <w:tc>
                <w:tcPr>
                  <w:tcW w:w="2730" w:type="dxa"/>
                  <w:vAlign w:val="center"/>
                </w:tcPr>
                <w:p>
                  <w:pPr>
                    <w:jc w:val="center"/>
                    <w:rPr>
                      <w:color w:val="auto"/>
                      <w:szCs w:val="21"/>
                      <w:highlight w:val="none"/>
                    </w:rPr>
                  </w:pPr>
                  <w:r>
                    <w:rPr>
                      <w:color w:val="auto"/>
                      <w:szCs w:val="21"/>
                      <w:highlight w:val="none"/>
                    </w:rPr>
                    <w:t>75-80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color w:val="auto"/>
                      <w:szCs w:val="21"/>
                      <w:highlight w:val="none"/>
                    </w:rPr>
                    <w:t>振捣器</w:t>
                  </w:r>
                </w:p>
              </w:tc>
              <w:tc>
                <w:tcPr>
                  <w:tcW w:w="2730" w:type="dxa"/>
                  <w:vAlign w:val="center"/>
                </w:tcPr>
                <w:p>
                  <w:pPr>
                    <w:jc w:val="center"/>
                    <w:rPr>
                      <w:color w:val="auto"/>
                      <w:szCs w:val="21"/>
                      <w:highlight w:val="none"/>
                    </w:rPr>
                  </w:pPr>
                  <w:r>
                    <w:rPr>
                      <w:color w:val="auto"/>
                      <w:szCs w:val="21"/>
                      <w:highlight w:val="none"/>
                    </w:rPr>
                    <w:t>75-84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color w:val="auto"/>
                      <w:szCs w:val="21"/>
                      <w:highlight w:val="none"/>
                    </w:rPr>
                    <w:t>电锯</w:t>
                  </w:r>
                </w:p>
              </w:tc>
              <w:tc>
                <w:tcPr>
                  <w:tcW w:w="2730" w:type="dxa"/>
                  <w:vAlign w:val="center"/>
                </w:tcPr>
                <w:p>
                  <w:pPr>
                    <w:jc w:val="center"/>
                    <w:rPr>
                      <w:color w:val="auto"/>
                      <w:szCs w:val="21"/>
                      <w:highlight w:val="none"/>
                    </w:rPr>
                  </w:pPr>
                  <w:r>
                    <w:rPr>
                      <w:color w:val="auto"/>
                      <w:szCs w:val="21"/>
                      <w:highlight w:val="none"/>
                    </w:rPr>
                    <w:t>90-100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restart"/>
                  <w:vAlign w:val="center"/>
                </w:tcPr>
                <w:p>
                  <w:pPr>
                    <w:jc w:val="center"/>
                    <w:rPr>
                      <w:color w:val="auto"/>
                      <w:szCs w:val="21"/>
                      <w:highlight w:val="none"/>
                    </w:rPr>
                  </w:pPr>
                  <w:r>
                    <w:rPr>
                      <w:color w:val="auto"/>
                      <w:szCs w:val="21"/>
                      <w:highlight w:val="none"/>
                    </w:rPr>
                    <w:t>装修安装阶段</w:t>
                  </w:r>
                </w:p>
              </w:tc>
              <w:tc>
                <w:tcPr>
                  <w:tcW w:w="3211" w:type="dxa"/>
                  <w:vAlign w:val="center"/>
                </w:tcPr>
                <w:p>
                  <w:pPr>
                    <w:jc w:val="center"/>
                    <w:rPr>
                      <w:color w:val="auto"/>
                      <w:szCs w:val="21"/>
                      <w:highlight w:val="none"/>
                    </w:rPr>
                  </w:pPr>
                  <w:r>
                    <w:rPr>
                      <w:color w:val="auto"/>
                      <w:szCs w:val="21"/>
                      <w:highlight w:val="none"/>
                    </w:rPr>
                    <w:t>电站</w:t>
                  </w:r>
                </w:p>
              </w:tc>
              <w:tc>
                <w:tcPr>
                  <w:tcW w:w="2730" w:type="dxa"/>
                  <w:vAlign w:val="center"/>
                </w:tcPr>
                <w:p>
                  <w:pPr>
                    <w:jc w:val="center"/>
                    <w:rPr>
                      <w:color w:val="auto"/>
                      <w:szCs w:val="21"/>
                      <w:highlight w:val="none"/>
                    </w:rPr>
                  </w:pPr>
                  <w:r>
                    <w:rPr>
                      <w:color w:val="auto"/>
                      <w:szCs w:val="21"/>
                      <w:highlight w:val="none"/>
                    </w:rPr>
                    <w:t>90-95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color w:val="auto"/>
                      <w:szCs w:val="21"/>
                      <w:highlight w:val="none"/>
                    </w:rPr>
                    <w:t>切割机</w:t>
                  </w:r>
                </w:p>
              </w:tc>
              <w:tc>
                <w:tcPr>
                  <w:tcW w:w="2730" w:type="dxa"/>
                  <w:vAlign w:val="center"/>
                </w:tcPr>
                <w:p>
                  <w:pPr>
                    <w:jc w:val="center"/>
                    <w:rPr>
                      <w:color w:val="auto"/>
                      <w:szCs w:val="21"/>
                      <w:highlight w:val="none"/>
                    </w:rPr>
                  </w:pPr>
                  <w:r>
                    <w:rPr>
                      <w:color w:val="auto"/>
                      <w:szCs w:val="21"/>
                      <w:highlight w:val="none"/>
                    </w:rPr>
                    <w:t>95-105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color w:val="auto"/>
                      <w:szCs w:val="21"/>
                      <w:highlight w:val="none"/>
                    </w:rPr>
                    <w:t>无齿锯</w:t>
                  </w:r>
                </w:p>
              </w:tc>
              <w:tc>
                <w:tcPr>
                  <w:tcW w:w="2730" w:type="dxa"/>
                  <w:vAlign w:val="center"/>
                </w:tcPr>
                <w:p>
                  <w:pPr>
                    <w:jc w:val="center"/>
                    <w:rPr>
                      <w:color w:val="auto"/>
                      <w:szCs w:val="21"/>
                      <w:highlight w:val="none"/>
                    </w:rPr>
                  </w:pPr>
                  <w:r>
                    <w:rPr>
                      <w:color w:val="auto"/>
                      <w:szCs w:val="21"/>
                      <w:highlight w:val="none"/>
                    </w:rPr>
                    <w:t>90-95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Merge w:val="continue"/>
                  <w:vAlign w:val="center"/>
                </w:tcPr>
                <w:p>
                  <w:pPr>
                    <w:jc w:val="center"/>
                    <w:rPr>
                      <w:color w:val="auto"/>
                      <w:szCs w:val="21"/>
                      <w:highlight w:val="none"/>
                    </w:rPr>
                  </w:pPr>
                </w:p>
              </w:tc>
              <w:tc>
                <w:tcPr>
                  <w:tcW w:w="3211" w:type="dxa"/>
                  <w:vAlign w:val="center"/>
                </w:tcPr>
                <w:p>
                  <w:pPr>
                    <w:jc w:val="center"/>
                    <w:rPr>
                      <w:color w:val="auto"/>
                      <w:szCs w:val="21"/>
                      <w:highlight w:val="none"/>
                    </w:rPr>
                  </w:pPr>
                  <w:r>
                    <w:rPr>
                      <w:color w:val="auto"/>
                      <w:szCs w:val="21"/>
                      <w:highlight w:val="none"/>
                    </w:rPr>
                    <w:t>多功能木工刨</w:t>
                  </w:r>
                </w:p>
              </w:tc>
              <w:tc>
                <w:tcPr>
                  <w:tcW w:w="2730" w:type="dxa"/>
                  <w:vAlign w:val="center"/>
                </w:tcPr>
                <w:p>
                  <w:pPr>
                    <w:jc w:val="center"/>
                    <w:rPr>
                      <w:color w:val="auto"/>
                      <w:szCs w:val="21"/>
                      <w:highlight w:val="none"/>
                    </w:rPr>
                  </w:pPr>
                  <w:r>
                    <w:rPr>
                      <w:color w:val="auto"/>
                      <w:szCs w:val="21"/>
                      <w:highlight w:val="none"/>
                    </w:rPr>
                    <w:t>75-85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93" w:type="dxa"/>
                  <w:vAlign w:val="center"/>
                </w:tcPr>
                <w:p>
                  <w:pPr>
                    <w:jc w:val="center"/>
                    <w:rPr>
                      <w:color w:val="auto"/>
                      <w:szCs w:val="21"/>
                      <w:highlight w:val="none"/>
                    </w:rPr>
                  </w:pPr>
                  <w:r>
                    <w:rPr>
                      <w:color w:val="auto"/>
                      <w:szCs w:val="21"/>
                      <w:highlight w:val="none"/>
                    </w:rPr>
                    <w:t>/</w:t>
                  </w:r>
                </w:p>
              </w:tc>
              <w:tc>
                <w:tcPr>
                  <w:tcW w:w="3211" w:type="dxa"/>
                  <w:vAlign w:val="center"/>
                </w:tcPr>
                <w:p>
                  <w:pPr>
                    <w:jc w:val="center"/>
                    <w:rPr>
                      <w:color w:val="auto"/>
                      <w:szCs w:val="21"/>
                      <w:highlight w:val="none"/>
                    </w:rPr>
                  </w:pPr>
                  <w:r>
                    <w:rPr>
                      <w:color w:val="auto"/>
                      <w:szCs w:val="21"/>
                      <w:highlight w:val="none"/>
                    </w:rPr>
                    <w:t>载重汽车</w:t>
                  </w:r>
                </w:p>
              </w:tc>
              <w:tc>
                <w:tcPr>
                  <w:tcW w:w="2730" w:type="dxa"/>
                  <w:vAlign w:val="center"/>
                </w:tcPr>
                <w:p>
                  <w:pPr>
                    <w:jc w:val="center"/>
                    <w:rPr>
                      <w:color w:val="auto"/>
                      <w:szCs w:val="21"/>
                      <w:highlight w:val="none"/>
                    </w:rPr>
                  </w:pPr>
                  <w:r>
                    <w:rPr>
                      <w:color w:val="auto"/>
                      <w:szCs w:val="21"/>
                      <w:highlight w:val="none"/>
                    </w:rPr>
                    <w:t>85-95</w:t>
                  </w:r>
                </w:p>
              </w:tc>
            </w:tr>
          </w:tbl>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5.2.2 废气</w:t>
            </w:r>
          </w:p>
          <w:p>
            <w:pPr>
              <w:spacing w:line="360" w:lineRule="auto"/>
              <w:ind w:firstLine="480" w:firstLineChars="200"/>
              <w:rPr>
                <w:color w:val="auto"/>
                <w:sz w:val="24"/>
                <w:highlight w:val="none"/>
              </w:rPr>
            </w:pPr>
            <w:r>
              <w:rPr>
                <w:rFonts w:hint="eastAsia"/>
                <w:color w:val="auto"/>
                <w:sz w:val="24"/>
                <w:highlight w:val="none"/>
              </w:rPr>
              <w:t>工程施工期对环境空气的污染主要有：建筑拆除过程中产生的扬尘；施工土方及渣土现场堆放所产生的扬尘；人来车往产生的现场道路扬尘；施工机械和运输车辆排放的尾气。</w:t>
            </w:r>
          </w:p>
          <w:p>
            <w:pPr>
              <w:spacing w:line="360" w:lineRule="auto"/>
              <w:ind w:firstLine="480" w:firstLineChars="200"/>
              <w:rPr>
                <w:color w:val="auto"/>
                <w:sz w:val="24"/>
                <w:highlight w:val="none"/>
              </w:rPr>
            </w:pPr>
            <w:r>
              <w:rPr>
                <w:rFonts w:hint="eastAsia"/>
                <w:color w:val="auto"/>
                <w:sz w:val="24"/>
                <w:highlight w:val="none"/>
              </w:rPr>
              <w:t>（1）拆除建筑扬尘</w:t>
            </w:r>
          </w:p>
          <w:p>
            <w:pPr>
              <w:spacing w:line="360" w:lineRule="auto"/>
              <w:ind w:firstLine="480" w:firstLineChars="200"/>
              <w:rPr>
                <w:color w:val="auto"/>
                <w:sz w:val="24"/>
                <w:highlight w:val="none"/>
              </w:rPr>
            </w:pPr>
            <w:r>
              <w:rPr>
                <w:rFonts w:hint="eastAsia"/>
                <w:color w:val="auto"/>
                <w:sz w:val="24"/>
                <w:highlight w:val="none"/>
              </w:rPr>
              <w:t>根据现场查勘，项目拟建地范围内无构建筑物需要拆除，不会产生拆除建筑扬尘。</w:t>
            </w:r>
          </w:p>
          <w:p>
            <w:pPr>
              <w:spacing w:line="360" w:lineRule="auto"/>
              <w:ind w:firstLine="480" w:firstLineChars="200"/>
              <w:rPr>
                <w:color w:val="auto"/>
                <w:sz w:val="24"/>
                <w:highlight w:val="none"/>
              </w:rPr>
            </w:pPr>
            <w:r>
              <w:rPr>
                <w:color w:val="auto"/>
                <w:sz w:val="24"/>
                <w:highlight w:val="none"/>
              </w:rPr>
              <w:t>（2）堆场扬尘</w:t>
            </w:r>
          </w:p>
          <w:p>
            <w:pPr>
              <w:spacing w:line="360" w:lineRule="auto"/>
              <w:ind w:firstLine="480" w:firstLineChars="200"/>
              <w:rPr>
                <w:color w:val="auto"/>
                <w:sz w:val="24"/>
                <w:highlight w:val="none"/>
              </w:rPr>
            </w:pPr>
            <w:r>
              <w:rPr>
                <w:color w:val="auto"/>
                <w:sz w:val="24"/>
                <w:highlight w:val="none"/>
              </w:rPr>
              <w:t>施工期扬尘产生的一个主要原因是露天堆场和裸露场地的风力扬尘。由于施工的需要，一般一些建材需要露天堆放；一些施工点表层土壤需要人工开挖、堆放，在气候干燥的情况下回产生扬尘，其扬尘可按堆场起尘的经验公式计算：</w:t>
            </w:r>
          </w:p>
          <w:p>
            <w:pPr>
              <w:pStyle w:val="9"/>
              <w:spacing w:line="460" w:lineRule="exact"/>
              <w:ind w:left="1050" w:right="3263" w:firstLine="0" w:firstLineChars="0"/>
              <w:jc w:val="center"/>
              <w:rPr>
                <w:rFonts w:ascii="Times New Roman" w:hAnsi="Times New Roman"/>
                <w:color w:val="auto"/>
                <w:sz w:val="24"/>
                <w:highlight w:val="none"/>
              </w:rPr>
            </w:pPr>
            <w:r>
              <w:rPr>
                <w:rFonts w:ascii="Times New Roman" w:hAnsi="Times New Roman"/>
                <w:color w:val="auto"/>
                <w:position w:val="-12"/>
                <w:sz w:val="24"/>
                <w:highlight w:val="none"/>
              </w:rPr>
              <w:object>
                <v:shape id="_x0000_i1032" o:spt="75" type="#_x0000_t75" style="height:23.25pt;width:152.25pt;" o:ole="t" filled="f" o:preferrelative="t" stroked="f" coordsize="21600,21600">
                  <v:path/>
                  <v:fill on="f" focussize="0,0"/>
                  <v:stroke on="f" joinstyle="miter"/>
                  <v:imagedata r:id="rId48" o:title=""/>
                  <o:lock v:ext="edit" aspectratio="t"/>
                  <w10:wrap type="none"/>
                  <w10:anchorlock/>
                </v:shape>
                <o:OLEObject Type="Embed" ProgID="Equation.3" ShapeID="_x0000_i1032" DrawAspect="Content" ObjectID="_1468075732" r:id="rId47">
                  <o:LockedField>false</o:LockedField>
                </o:OLEObject>
              </w:object>
            </w:r>
          </w:p>
          <w:p>
            <w:pPr>
              <w:pStyle w:val="9"/>
              <w:spacing w:line="460" w:lineRule="exact"/>
              <w:ind w:left="1050" w:right="3263" w:firstLine="480"/>
              <w:rPr>
                <w:rFonts w:ascii="Times New Roman" w:hAnsi="Times New Roman"/>
                <w:color w:val="auto"/>
                <w:sz w:val="24"/>
                <w:highlight w:val="none"/>
              </w:rPr>
            </w:pPr>
            <w:r>
              <w:rPr>
                <w:rFonts w:ascii="Times New Roman" w:hAnsi="Times New Roman"/>
                <w:color w:val="auto"/>
                <w:sz w:val="24"/>
                <w:highlight w:val="none"/>
              </w:rPr>
              <w:t>其中：Q—起尘量，kg/吨·年；</w:t>
            </w:r>
          </w:p>
          <w:p>
            <w:pPr>
              <w:pStyle w:val="9"/>
              <w:spacing w:line="460" w:lineRule="exact"/>
              <w:ind w:left="1050" w:right="3263" w:firstLine="1188" w:firstLineChars="495"/>
              <w:rPr>
                <w:rFonts w:ascii="Times New Roman" w:hAnsi="Times New Roman"/>
                <w:color w:val="auto"/>
                <w:sz w:val="24"/>
                <w:highlight w:val="none"/>
              </w:rPr>
            </w:pPr>
            <w:r>
              <w:rPr>
                <w:rFonts w:ascii="Times New Roman" w:hAnsi="Times New Roman"/>
                <w:color w:val="auto"/>
                <w:sz w:val="24"/>
                <w:highlight w:val="none"/>
              </w:rPr>
              <w:t>V</w:t>
            </w:r>
            <w:r>
              <w:rPr>
                <w:rFonts w:ascii="Times New Roman" w:hAnsi="Times New Roman"/>
                <w:color w:val="auto"/>
                <w:sz w:val="24"/>
                <w:highlight w:val="none"/>
                <w:vertAlign w:val="subscript"/>
              </w:rPr>
              <w:t>50</w:t>
            </w:r>
            <w:r>
              <w:rPr>
                <w:rFonts w:ascii="Times New Roman" w:hAnsi="Times New Roman"/>
                <w:color w:val="auto"/>
                <w:sz w:val="24"/>
                <w:highlight w:val="none"/>
              </w:rPr>
              <w:t>—距地面50m处风速，m/s；</w:t>
            </w:r>
          </w:p>
          <w:p>
            <w:pPr>
              <w:pStyle w:val="9"/>
              <w:spacing w:line="460" w:lineRule="exact"/>
              <w:ind w:left="1050" w:right="3263" w:firstLine="1188" w:firstLineChars="495"/>
              <w:rPr>
                <w:rFonts w:ascii="Times New Roman" w:hAnsi="Times New Roman"/>
                <w:color w:val="auto"/>
                <w:sz w:val="24"/>
                <w:highlight w:val="none"/>
              </w:rPr>
            </w:pPr>
            <w:r>
              <w:rPr>
                <w:rFonts w:ascii="Times New Roman" w:hAnsi="Times New Roman"/>
                <w:color w:val="auto"/>
                <w:sz w:val="24"/>
                <w:highlight w:val="none"/>
              </w:rPr>
              <w:t>V</w:t>
            </w:r>
            <w:r>
              <w:rPr>
                <w:rFonts w:ascii="Times New Roman" w:hAnsi="Times New Roman"/>
                <w:color w:val="auto"/>
                <w:sz w:val="24"/>
                <w:highlight w:val="none"/>
                <w:vertAlign w:val="subscript"/>
              </w:rPr>
              <w:t>0</w:t>
            </w:r>
            <w:r>
              <w:rPr>
                <w:rFonts w:ascii="Times New Roman" w:hAnsi="Times New Roman"/>
                <w:color w:val="auto"/>
                <w:sz w:val="24"/>
                <w:highlight w:val="none"/>
              </w:rPr>
              <w:t>—起尘</w:t>
            </w:r>
            <w:bookmarkStart w:id="4" w:name="_Hlt9132753"/>
            <w:bookmarkEnd w:id="4"/>
            <w:r>
              <w:rPr>
                <w:rFonts w:ascii="Times New Roman" w:hAnsi="Times New Roman"/>
                <w:color w:val="auto"/>
                <w:sz w:val="24"/>
                <w:highlight w:val="none"/>
              </w:rPr>
              <w:t>风速，m/s；</w:t>
            </w:r>
          </w:p>
          <w:p>
            <w:pPr>
              <w:pStyle w:val="9"/>
              <w:spacing w:line="460" w:lineRule="exact"/>
              <w:ind w:left="1050" w:right="3263" w:firstLine="1188" w:firstLineChars="495"/>
              <w:rPr>
                <w:rFonts w:ascii="Times New Roman" w:hAnsi="Times New Roman"/>
                <w:color w:val="auto"/>
                <w:sz w:val="24"/>
                <w:highlight w:val="none"/>
              </w:rPr>
            </w:pPr>
            <w:r>
              <w:rPr>
                <w:rFonts w:ascii="Times New Roman" w:hAnsi="Times New Roman"/>
                <w:color w:val="auto"/>
                <w:sz w:val="24"/>
                <w:highlight w:val="none"/>
              </w:rPr>
              <w:t>W—尘粒的含水率，%。</w:t>
            </w:r>
          </w:p>
          <w:p>
            <w:pPr>
              <w:spacing w:line="360" w:lineRule="auto"/>
              <w:ind w:firstLine="480" w:firstLineChars="200"/>
              <w:rPr>
                <w:color w:val="auto"/>
                <w:sz w:val="24"/>
                <w:highlight w:val="none"/>
              </w:rPr>
            </w:pPr>
            <w:r>
              <w:rPr>
                <w:color w:val="auto"/>
                <w:sz w:val="24"/>
                <w:highlight w:val="none"/>
              </w:rPr>
              <w:t>V</w:t>
            </w:r>
            <w:r>
              <w:rPr>
                <w:color w:val="auto"/>
                <w:sz w:val="24"/>
                <w:highlight w:val="none"/>
                <w:vertAlign w:val="subscript"/>
              </w:rPr>
              <w:t>0</w:t>
            </w:r>
            <w:r>
              <w:rPr>
                <w:color w:val="auto"/>
                <w:sz w:val="24"/>
                <w:highlight w:val="none"/>
              </w:rPr>
              <w:t>与粒径和含水率有关，因此，减少露天堆放和保证一定的含水率及减少裸露地面是减少风力起尘的有效手段。</w:t>
            </w:r>
          </w:p>
          <w:p>
            <w:pPr>
              <w:spacing w:line="360" w:lineRule="auto"/>
              <w:ind w:firstLine="480" w:firstLineChars="200"/>
              <w:rPr>
                <w:color w:val="auto"/>
                <w:sz w:val="24"/>
                <w:highlight w:val="none"/>
              </w:rPr>
            </w:pPr>
            <w:r>
              <w:rPr>
                <w:color w:val="auto"/>
                <w:sz w:val="24"/>
                <w:highlight w:val="none"/>
              </w:rPr>
              <w:t>尘粒在空气中的传播扩散情况与风速等气象条件有关，也与尘粒本身的沉降速度有关。不同粒径的尘粒的沉降速度见表</w:t>
            </w:r>
            <w:r>
              <w:rPr>
                <w:rFonts w:hint="eastAsia"/>
                <w:color w:val="auto"/>
                <w:sz w:val="24"/>
                <w:highlight w:val="none"/>
              </w:rPr>
              <w:t>5-3</w:t>
            </w:r>
            <w:r>
              <w:rPr>
                <w:color w:val="auto"/>
                <w:sz w:val="24"/>
                <w:highlight w:val="none"/>
              </w:rPr>
              <w:t>。</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 xml:space="preserve">5-3  </w:t>
            </w:r>
            <w:r>
              <w:rPr>
                <w:b/>
                <w:color w:val="auto"/>
                <w:sz w:val="24"/>
                <w:highlight w:val="none"/>
              </w:rPr>
              <w:t>不同粒径尘粒的沉降速度</w:t>
            </w:r>
          </w:p>
          <w:tbl>
            <w:tblPr>
              <w:tblStyle w:val="29"/>
              <w:tblW w:w="921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996"/>
              <w:gridCol w:w="996"/>
              <w:gridCol w:w="996"/>
              <w:gridCol w:w="996"/>
              <w:gridCol w:w="996"/>
              <w:gridCol w:w="996"/>
              <w:gridCol w:w="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42" w:type="dxa"/>
                  <w:vAlign w:val="center"/>
                </w:tcPr>
                <w:p>
                  <w:pPr>
                    <w:snapToGrid w:val="0"/>
                    <w:jc w:val="center"/>
                    <w:rPr>
                      <w:color w:val="auto"/>
                      <w:szCs w:val="21"/>
                      <w:highlight w:val="none"/>
                    </w:rPr>
                  </w:pPr>
                  <w:r>
                    <w:rPr>
                      <w:color w:val="auto"/>
                      <w:szCs w:val="21"/>
                      <w:highlight w:val="none"/>
                    </w:rPr>
                    <w:t>粒径 (</w:t>
                  </w:r>
                  <w:r>
                    <w:rPr>
                      <w:color w:val="auto"/>
                      <w:szCs w:val="21"/>
                      <w:highlight w:val="none"/>
                    </w:rPr>
                    <w:sym w:font="Symbol" w:char="F06D"/>
                  </w:r>
                  <w:r>
                    <w:rPr>
                      <w:color w:val="auto"/>
                      <w:szCs w:val="21"/>
                      <w:highlight w:val="none"/>
                    </w:rPr>
                    <w:t>m)</w:t>
                  </w:r>
                </w:p>
              </w:tc>
              <w:tc>
                <w:tcPr>
                  <w:tcW w:w="996" w:type="dxa"/>
                  <w:vAlign w:val="center"/>
                </w:tcPr>
                <w:p>
                  <w:pPr>
                    <w:snapToGrid w:val="0"/>
                    <w:jc w:val="center"/>
                    <w:rPr>
                      <w:color w:val="auto"/>
                      <w:szCs w:val="21"/>
                      <w:highlight w:val="none"/>
                    </w:rPr>
                  </w:pPr>
                  <w:r>
                    <w:rPr>
                      <w:color w:val="auto"/>
                      <w:szCs w:val="21"/>
                      <w:highlight w:val="none"/>
                    </w:rPr>
                    <w:t>10</w:t>
                  </w:r>
                </w:p>
              </w:tc>
              <w:tc>
                <w:tcPr>
                  <w:tcW w:w="996" w:type="dxa"/>
                  <w:vAlign w:val="center"/>
                </w:tcPr>
                <w:p>
                  <w:pPr>
                    <w:snapToGrid w:val="0"/>
                    <w:jc w:val="center"/>
                    <w:rPr>
                      <w:color w:val="auto"/>
                      <w:szCs w:val="21"/>
                      <w:highlight w:val="none"/>
                    </w:rPr>
                  </w:pPr>
                  <w:r>
                    <w:rPr>
                      <w:color w:val="auto"/>
                      <w:szCs w:val="21"/>
                      <w:highlight w:val="none"/>
                    </w:rPr>
                    <w:t>20</w:t>
                  </w:r>
                </w:p>
              </w:tc>
              <w:tc>
                <w:tcPr>
                  <w:tcW w:w="996" w:type="dxa"/>
                  <w:vAlign w:val="center"/>
                </w:tcPr>
                <w:p>
                  <w:pPr>
                    <w:snapToGrid w:val="0"/>
                    <w:jc w:val="center"/>
                    <w:rPr>
                      <w:color w:val="auto"/>
                      <w:szCs w:val="21"/>
                      <w:highlight w:val="none"/>
                    </w:rPr>
                  </w:pPr>
                  <w:r>
                    <w:rPr>
                      <w:color w:val="auto"/>
                      <w:szCs w:val="21"/>
                      <w:highlight w:val="none"/>
                    </w:rPr>
                    <w:t>30</w:t>
                  </w:r>
                </w:p>
              </w:tc>
              <w:tc>
                <w:tcPr>
                  <w:tcW w:w="996" w:type="dxa"/>
                  <w:vAlign w:val="center"/>
                </w:tcPr>
                <w:p>
                  <w:pPr>
                    <w:snapToGrid w:val="0"/>
                    <w:jc w:val="center"/>
                    <w:rPr>
                      <w:color w:val="auto"/>
                      <w:szCs w:val="21"/>
                      <w:highlight w:val="none"/>
                    </w:rPr>
                  </w:pPr>
                  <w:r>
                    <w:rPr>
                      <w:color w:val="auto"/>
                      <w:szCs w:val="21"/>
                      <w:highlight w:val="none"/>
                    </w:rPr>
                    <w:t>40</w:t>
                  </w:r>
                </w:p>
              </w:tc>
              <w:tc>
                <w:tcPr>
                  <w:tcW w:w="996" w:type="dxa"/>
                  <w:vAlign w:val="center"/>
                </w:tcPr>
                <w:p>
                  <w:pPr>
                    <w:snapToGrid w:val="0"/>
                    <w:jc w:val="center"/>
                    <w:rPr>
                      <w:color w:val="auto"/>
                      <w:szCs w:val="21"/>
                      <w:highlight w:val="none"/>
                    </w:rPr>
                  </w:pPr>
                  <w:r>
                    <w:rPr>
                      <w:color w:val="auto"/>
                      <w:szCs w:val="21"/>
                      <w:highlight w:val="none"/>
                    </w:rPr>
                    <w:t>50</w:t>
                  </w:r>
                </w:p>
              </w:tc>
              <w:tc>
                <w:tcPr>
                  <w:tcW w:w="996" w:type="dxa"/>
                  <w:vAlign w:val="center"/>
                </w:tcPr>
                <w:p>
                  <w:pPr>
                    <w:snapToGrid w:val="0"/>
                    <w:jc w:val="center"/>
                    <w:rPr>
                      <w:color w:val="auto"/>
                      <w:szCs w:val="21"/>
                      <w:highlight w:val="none"/>
                    </w:rPr>
                  </w:pPr>
                  <w:r>
                    <w:rPr>
                      <w:color w:val="auto"/>
                      <w:szCs w:val="21"/>
                      <w:highlight w:val="none"/>
                    </w:rPr>
                    <w:t>60</w:t>
                  </w:r>
                </w:p>
              </w:tc>
              <w:tc>
                <w:tcPr>
                  <w:tcW w:w="996" w:type="dxa"/>
                  <w:vAlign w:val="center"/>
                </w:tcPr>
                <w:p>
                  <w:pPr>
                    <w:snapToGrid w:val="0"/>
                    <w:jc w:val="center"/>
                    <w:rPr>
                      <w:color w:val="auto"/>
                      <w:szCs w:val="21"/>
                      <w:highlight w:val="none"/>
                    </w:rPr>
                  </w:pPr>
                  <w:r>
                    <w:rPr>
                      <w:color w:val="auto"/>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42" w:type="dxa"/>
                  <w:vAlign w:val="center"/>
                </w:tcPr>
                <w:p>
                  <w:pPr>
                    <w:snapToGrid w:val="0"/>
                    <w:jc w:val="center"/>
                    <w:rPr>
                      <w:color w:val="auto"/>
                      <w:szCs w:val="21"/>
                      <w:highlight w:val="none"/>
                    </w:rPr>
                  </w:pPr>
                  <w:r>
                    <w:rPr>
                      <w:color w:val="auto"/>
                      <w:szCs w:val="21"/>
                      <w:highlight w:val="none"/>
                    </w:rPr>
                    <w:t>沉降速度 (m/s)</w:t>
                  </w:r>
                </w:p>
              </w:tc>
              <w:tc>
                <w:tcPr>
                  <w:tcW w:w="996" w:type="dxa"/>
                  <w:vAlign w:val="center"/>
                </w:tcPr>
                <w:p>
                  <w:pPr>
                    <w:snapToGrid w:val="0"/>
                    <w:jc w:val="center"/>
                    <w:rPr>
                      <w:color w:val="auto"/>
                      <w:szCs w:val="21"/>
                      <w:highlight w:val="none"/>
                    </w:rPr>
                  </w:pPr>
                  <w:r>
                    <w:rPr>
                      <w:color w:val="auto"/>
                      <w:szCs w:val="21"/>
                      <w:highlight w:val="none"/>
                    </w:rPr>
                    <w:t>0.003</w:t>
                  </w:r>
                </w:p>
              </w:tc>
              <w:tc>
                <w:tcPr>
                  <w:tcW w:w="996" w:type="dxa"/>
                  <w:vAlign w:val="center"/>
                </w:tcPr>
                <w:p>
                  <w:pPr>
                    <w:snapToGrid w:val="0"/>
                    <w:jc w:val="center"/>
                    <w:rPr>
                      <w:color w:val="auto"/>
                      <w:szCs w:val="21"/>
                      <w:highlight w:val="none"/>
                    </w:rPr>
                  </w:pPr>
                  <w:r>
                    <w:rPr>
                      <w:color w:val="auto"/>
                      <w:szCs w:val="21"/>
                      <w:highlight w:val="none"/>
                    </w:rPr>
                    <w:t>0.012</w:t>
                  </w:r>
                </w:p>
              </w:tc>
              <w:tc>
                <w:tcPr>
                  <w:tcW w:w="996" w:type="dxa"/>
                  <w:vAlign w:val="center"/>
                </w:tcPr>
                <w:p>
                  <w:pPr>
                    <w:snapToGrid w:val="0"/>
                    <w:jc w:val="center"/>
                    <w:rPr>
                      <w:color w:val="auto"/>
                      <w:szCs w:val="21"/>
                      <w:highlight w:val="none"/>
                    </w:rPr>
                  </w:pPr>
                  <w:r>
                    <w:rPr>
                      <w:color w:val="auto"/>
                      <w:szCs w:val="21"/>
                      <w:highlight w:val="none"/>
                    </w:rPr>
                    <w:t>0.027</w:t>
                  </w:r>
                </w:p>
              </w:tc>
              <w:tc>
                <w:tcPr>
                  <w:tcW w:w="996" w:type="dxa"/>
                  <w:vAlign w:val="center"/>
                </w:tcPr>
                <w:p>
                  <w:pPr>
                    <w:snapToGrid w:val="0"/>
                    <w:jc w:val="center"/>
                    <w:rPr>
                      <w:color w:val="auto"/>
                      <w:szCs w:val="21"/>
                      <w:highlight w:val="none"/>
                    </w:rPr>
                  </w:pPr>
                  <w:r>
                    <w:rPr>
                      <w:color w:val="auto"/>
                      <w:szCs w:val="21"/>
                      <w:highlight w:val="none"/>
                    </w:rPr>
                    <w:t>0.048</w:t>
                  </w:r>
                </w:p>
              </w:tc>
              <w:tc>
                <w:tcPr>
                  <w:tcW w:w="996" w:type="dxa"/>
                  <w:vAlign w:val="center"/>
                </w:tcPr>
                <w:p>
                  <w:pPr>
                    <w:snapToGrid w:val="0"/>
                    <w:jc w:val="center"/>
                    <w:rPr>
                      <w:color w:val="auto"/>
                      <w:szCs w:val="21"/>
                      <w:highlight w:val="none"/>
                    </w:rPr>
                  </w:pPr>
                  <w:r>
                    <w:rPr>
                      <w:color w:val="auto"/>
                      <w:szCs w:val="21"/>
                      <w:highlight w:val="none"/>
                    </w:rPr>
                    <w:t>0.075</w:t>
                  </w:r>
                </w:p>
              </w:tc>
              <w:tc>
                <w:tcPr>
                  <w:tcW w:w="996" w:type="dxa"/>
                  <w:vAlign w:val="center"/>
                </w:tcPr>
                <w:p>
                  <w:pPr>
                    <w:snapToGrid w:val="0"/>
                    <w:jc w:val="center"/>
                    <w:rPr>
                      <w:color w:val="auto"/>
                      <w:szCs w:val="21"/>
                      <w:highlight w:val="none"/>
                    </w:rPr>
                  </w:pPr>
                  <w:r>
                    <w:rPr>
                      <w:color w:val="auto"/>
                      <w:szCs w:val="21"/>
                      <w:highlight w:val="none"/>
                    </w:rPr>
                    <w:t>0.108</w:t>
                  </w:r>
                </w:p>
              </w:tc>
              <w:tc>
                <w:tcPr>
                  <w:tcW w:w="996" w:type="dxa"/>
                  <w:vAlign w:val="center"/>
                </w:tcPr>
                <w:p>
                  <w:pPr>
                    <w:snapToGrid w:val="0"/>
                    <w:jc w:val="center"/>
                    <w:rPr>
                      <w:color w:val="auto"/>
                      <w:szCs w:val="21"/>
                      <w:highlight w:val="none"/>
                    </w:rPr>
                  </w:pPr>
                  <w:r>
                    <w:rPr>
                      <w:color w:val="auto"/>
                      <w:szCs w:val="21"/>
                      <w:highlight w:val="none"/>
                    </w:rPr>
                    <w:t>0.147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42" w:type="dxa"/>
                  <w:vAlign w:val="center"/>
                </w:tcPr>
                <w:p>
                  <w:pPr>
                    <w:snapToGrid w:val="0"/>
                    <w:jc w:val="center"/>
                    <w:rPr>
                      <w:color w:val="auto"/>
                      <w:szCs w:val="21"/>
                      <w:highlight w:val="none"/>
                    </w:rPr>
                  </w:pPr>
                  <w:r>
                    <w:rPr>
                      <w:color w:val="auto"/>
                      <w:szCs w:val="21"/>
                      <w:highlight w:val="none"/>
                    </w:rPr>
                    <w:t>粒径 (</w:t>
                  </w:r>
                  <w:r>
                    <w:rPr>
                      <w:color w:val="auto"/>
                      <w:szCs w:val="21"/>
                      <w:highlight w:val="none"/>
                    </w:rPr>
                    <w:sym w:font="Symbol" w:char="F06D"/>
                  </w:r>
                  <w:r>
                    <w:rPr>
                      <w:color w:val="auto"/>
                      <w:szCs w:val="21"/>
                      <w:highlight w:val="none"/>
                    </w:rPr>
                    <w:t>m)</w:t>
                  </w:r>
                </w:p>
              </w:tc>
              <w:tc>
                <w:tcPr>
                  <w:tcW w:w="996" w:type="dxa"/>
                  <w:vAlign w:val="center"/>
                </w:tcPr>
                <w:p>
                  <w:pPr>
                    <w:snapToGrid w:val="0"/>
                    <w:jc w:val="center"/>
                    <w:rPr>
                      <w:color w:val="auto"/>
                      <w:szCs w:val="21"/>
                      <w:highlight w:val="none"/>
                    </w:rPr>
                  </w:pPr>
                  <w:r>
                    <w:rPr>
                      <w:color w:val="auto"/>
                      <w:szCs w:val="21"/>
                      <w:highlight w:val="none"/>
                    </w:rPr>
                    <w:t>80</w:t>
                  </w:r>
                </w:p>
              </w:tc>
              <w:tc>
                <w:tcPr>
                  <w:tcW w:w="996" w:type="dxa"/>
                  <w:vAlign w:val="center"/>
                </w:tcPr>
                <w:p>
                  <w:pPr>
                    <w:snapToGrid w:val="0"/>
                    <w:jc w:val="center"/>
                    <w:rPr>
                      <w:color w:val="auto"/>
                      <w:szCs w:val="21"/>
                      <w:highlight w:val="none"/>
                    </w:rPr>
                  </w:pPr>
                  <w:r>
                    <w:rPr>
                      <w:color w:val="auto"/>
                      <w:szCs w:val="21"/>
                      <w:highlight w:val="none"/>
                    </w:rPr>
                    <w:t>90</w:t>
                  </w:r>
                </w:p>
              </w:tc>
              <w:tc>
                <w:tcPr>
                  <w:tcW w:w="996" w:type="dxa"/>
                  <w:vAlign w:val="center"/>
                </w:tcPr>
                <w:p>
                  <w:pPr>
                    <w:snapToGrid w:val="0"/>
                    <w:jc w:val="center"/>
                    <w:rPr>
                      <w:color w:val="auto"/>
                      <w:szCs w:val="21"/>
                      <w:highlight w:val="none"/>
                    </w:rPr>
                  </w:pPr>
                  <w:r>
                    <w:rPr>
                      <w:color w:val="auto"/>
                      <w:szCs w:val="21"/>
                      <w:highlight w:val="none"/>
                    </w:rPr>
                    <w:t>100</w:t>
                  </w:r>
                </w:p>
              </w:tc>
              <w:tc>
                <w:tcPr>
                  <w:tcW w:w="996" w:type="dxa"/>
                  <w:vAlign w:val="center"/>
                </w:tcPr>
                <w:p>
                  <w:pPr>
                    <w:snapToGrid w:val="0"/>
                    <w:jc w:val="center"/>
                    <w:rPr>
                      <w:color w:val="auto"/>
                      <w:szCs w:val="21"/>
                      <w:highlight w:val="none"/>
                    </w:rPr>
                  </w:pPr>
                  <w:r>
                    <w:rPr>
                      <w:color w:val="auto"/>
                      <w:szCs w:val="21"/>
                      <w:highlight w:val="none"/>
                    </w:rPr>
                    <w:t>150</w:t>
                  </w:r>
                </w:p>
              </w:tc>
              <w:tc>
                <w:tcPr>
                  <w:tcW w:w="996" w:type="dxa"/>
                  <w:vAlign w:val="center"/>
                </w:tcPr>
                <w:p>
                  <w:pPr>
                    <w:snapToGrid w:val="0"/>
                    <w:jc w:val="center"/>
                    <w:rPr>
                      <w:color w:val="auto"/>
                      <w:szCs w:val="21"/>
                      <w:highlight w:val="none"/>
                    </w:rPr>
                  </w:pPr>
                  <w:r>
                    <w:rPr>
                      <w:color w:val="auto"/>
                      <w:szCs w:val="21"/>
                      <w:highlight w:val="none"/>
                    </w:rPr>
                    <w:t>200</w:t>
                  </w:r>
                </w:p>
              </w:tc>
              <w:tc>
                <w:tcPr>
                  <w:tcW w:w="996" w:type="dxa"/>
                  <w:vAlign w:val="center"/>
                </w:tcPr>
                <w:p>
                  <w:pPr>
                    <w:snapToGrid w:val="0"/>
                    <w:jc w:val="center"/>
                    <w:rPr>
                      <w:color w:val="auto"/>
                      <w:szCs w:val="21"/>
                      <w:highlight w:val="none"/>
                    </w:rPr>
                  </w:pPr>
                  <w:r>
                    <w:rPr>
                      <w:color w:val="auto"/>
                      <w:szCs w:val="21"/>
                      <w:highlight w:val="none"/>
                    </w:rPr>
                    <w:t>250</w:t>
                  </w:r>
                </w:p>
              </w:tc>
              <w:tc>
                <w:tcPr>
                  <w:tcW w:w="996" w:type="dxa"/>
                  <w:vAlign w:val="center"/>
                </w:tcPr>
                <w:p>
                  <w:pPr>
                    <w:snapToGrid w:val="0"/>
                    <w:jc w:val="center"/>
                    <w:rPr>
                      <w:color w:val="auto"/>
                      <w:szCs w:val="21"/>
                      <w:highlight w:val="none"/>
                    </w:rPr>
                  </w:pPr>
                  <w:r>
                    <w:rPr>
                      <w:color w:val="auto"/>
                      <w:szCs w:val="21"/>
                      <w:highlight w:val="none"/>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42" w:type="dxa"/>
                  <w:vAlign w:val="center"/>
                </w:tcPr>
                <w:p>
                  <w:pPr>
                    <w:snapToGrid w:val="0"/>
                    <w:jc w:val="center"/>
                    <w:rPr>
                      <w:color w:val="auto"/>
                      <w:szCs w:val="21"/>
                      <w:highlight w:val="none"/>
                    </w:rPr>
                  </w:pPr>
                  <w:r>
                    <w:rPr>
                      <w:color w:val="auto"/>
                      <w:szCs w:val="21"/>
                      <w:highlight w:val="none"/>
                    </w:rPr>
                    <w:t>沉降速度 (m/s)</w:t>
                  </w:r>
                </w:p>
              </w:tc>
              <w:tc>
                <w:tcPr>
                  <w:tcW w:w="996" w:type="dxa"/>
                  <w:vAlign w:val="center"/>
                </w:tcPr>
                <w:p>
                  <w:pPr>
                    <w:snapToGrid w:val="0"/>
                    <w:jc w:val="center"/>
                    <w:rPr>
                      <w:color w:val="auto"/>
                      <w:szCs w:val="21"/>
                      <w:highlight w:val="none"/>
                    </w:rPr>
                  </w:pPr>
                  <w:r>
                    <w:rPr>
                      <w:color w:val="auto"/>
                      <w:szCs w:val="21"/>
                      <w:highlight w:val="none"/>
                    </w:rPr>
                    <w:t>0.158</w:t>
                  </w:r>
                </w:p>
              </w:tc>
              <w:tc>
                <w:tcPr>
                  <w:tcW w:w="996" w:type="dxa"/>
                  <w:vAlign w:val="center"/>
                </w:tcPr>
                <w:p>
                  <w:pPr>
                    <w:snapToGrid w:val="0"/>
                    <w:jc w:val="center"/>
                    <w:rPr>
                      <w:color w:val="auto"/>
                      <w:szCs w:val="21"/>
                      <w:highlight w:val="none"/>
                    </w:rPr>
                  </w:pPr>
                  <w:r>
                    <w:rPr>
                      <w:color w:val="auto"/>
                      <w:szCs w:val="21"/>
                      <w:highlight w:val="none"/>
                    </w:rPr>
                    <w:t>0.170</w:t>
                  </w:r>
                </w:p>
              </w:tc>
              <w:tc>
                <w:tcPr>
                  <w:tcW w:w="996" w:type="dxa"/>
                  <w:vAlign w:val="center"/>
                </w:tcPr>
                <w:p>
                  <w:pPr>
                    <w:snapToGrid w:val="0"/>
                    <w:jc w:val="center"/>
                    <w:rPr>
                      <w:color w:val="auto"/>
                      <w:szCs w:val="21"/>
                      <w:highlight w:val="none"/>
                    </w:rPr>
                  </w:pPr>
                  <w:r>
                    <w:rPr>
                      <w:color w:val="auto"/>
                      <w:szCs w:val="21"/>
                      <w:highlight w:val="none"/>
                    </w:rPr>
                    <w:t>0.182</w:t>
                  </w:r>
                </w:p>
              </w:tc>
              <w:tc>
                <w:tcPr>
                  <w:tcW w:w="996" w:type="dxa"/>
                  <w:vAlign w:val="center"/>
                </w:tcPr>
                <w:p>
                  <w:pPr>
                    <w:snapToGrid w:val="0"/>
                    <w:jc w:val="center"/>
                    <w:rPr>
                      <w:color w:val="auto"/>
                      <w:szCs w:val="21"/>
                      <w:highlight w:val="none"/>
                    </w:rPr>
                  </w:pPr>
                  <w:r>
                    <w:rPr>
                      <w:color w:val="auto"/>
                      <w:szCs w:val="21"/>
                      <w:highlight w:val="none"/>
                    </w:rPr>
                    <w:t>0.239</w:t>
                  </w:r>
                </w:p>
              </w:tc>
              <w:tc>
                <w:tcPr>
                  <w:tcW w:w="996" w:type="dxa"/>
                  <w:vAlign w:val="center"/>
                </w:tcPr>
                <w:p>
                  <w:pPr>
                    <w:snapToGrid w:val="0"/>
                    <w:jc w:val="center"/>
                    <w:rPr>
                      <w:color w:val="auto"/>
                      <w:szCs w:val="21"/>
                      <w:highlight w:val="none"/>
                    </w:rPr>
                  </w:pPr>
                  <w:r>
                    <w:rPr>
                      <w:color w:val="auto"/>
                      <w:szCs w:val="21"/>
                      <w:highlight w:val="none"/>
                    </w:rPr>
                    <w:t>0.804</w:t>
                  </w:r>
                </w:p>
              </w:tc>
              <w:tc>
                <w:tcPr>
                  <w:tcW w:w="996" w:type="dxa"/>
                  <w:vAlign w:val="center"/>
                </w:tcPr>
                <w:p>
                  <w:pPr>
                    <w:snapToGrid w:val="0"/>
                    <w:jc w:val="center"/>
                    <w:rPr>
                      <w:color w:val="auto"/>
                      <w:szCs w:val="21"/>
                      <w:highlight w:val="none"/>
                    </w:rPr>
                  </w:pPr>
                  <w:r>
                    <w:rPr>
                      <w:color w:val="auto"/>
                      <w:szCs w:val="21"/>
                      <w:highlight w:val="none"/>
                    </w:rPr>
                    <w:t>1.005</w:t>
                  </w:r>
                </w:p>
              </w:tc>
              <w:tc>
                <w:tcPr>
                  <w:tcW w:w="996" w:type="dxa"/>
                  <w:vAlign w:val="center"/>
                </w:tcPr>
                <w:p>
                  <w:pPr>
                    <w:snapToGrid w:val="0"/>
                    <w:jc w:val="center"/>
                    <w:rPr>
                      <w:color w:val="auto"/>
                      <w:szCs w:val="21"/>
                      <w:highlight w:val="none"/>
                    </w:rPr>
                  </w:pPr>
                  <w:r>
                    <w:rPr>
                      <w:color w:val="auto"/>
                      <w:szCs w:val="21"/>
                      <w:highlight w:val="none"/>
                    </w:rPr>
                    <w:t>1.829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42" w:type="dxa"/>
                  <w:vAlign w:val="center"/>
                </w:tcPr>
                <w:p>
                  <w:pPr>
                    <w:snapToGrid w:val="0"/>
                    <w:jc w:val="center"/>
                    <w:rPr>
                      <w:color w:val="auto"/>
                      <w:szCs w:val="21"/>
                      <w:highlight w:val="none"/>
                    </w:rPr>
                  </w:pPr>
                  <w:r>
                    <w:rPr>
                      <w:color w:val="auto"/>
                      <w:szCs w:val="21"/>
                      <w:highlight w:val="none"/>
                    </w:rPr>
                    <w:t>粒径 (</w:t>
                  </w:r>
                  <w:r>
                    <w:rPr>
                      <w:color w:val="auto"/>
                      <w:szCs w:val="21"/>
                      <w:highlight w:val="none"/>
                    </w:rPr>
                    <w:sym w:font="Symbol" w:char="F06D"/>
                  </w:r>
                  <w:r>
                    <w:rPr>
                      <w:color w:val="auto"/>
                      <w:szCs w:val="21"/>
                      <w:highlight w:val="none"/>
                    </w:rPr>
                    <w:t>m)</w:t>
                  </w:r>
                </w:p>
              </w:tc>
              <w:tc>
                <w:tcPr>
                  <w:tcW w:w="996" w:type="dxa"/>
                  <w:vAlign w:val="center"/>
                </w:tcPr>
                <w:p>
                  <w:pPr>
                    <w:snapToGrid w:val="0"/>
                    <w:jc w:val="center"/>
                    <w:rPr>
                      <w:color w:val="auto"/>
                      <w:szCs w:val="21"/>
                      <w:highlight w:val="none"/>
                    </w:rPr>
                  </w:pPr>
                  <w:r>
                    <w:rPr>
                      <w:color w:val="auto"/>
                      <w:szCs w:val="21"/>
                      <w:highlight w:val="none"/>
                    </w:rPr>
                    <w:t>450</w:t>
                  </w:r>
                </w:p>
              </w:tc>
              <w:tc>
                <w:tcPr>
                  <w:tcW w:w="996" w:type="dxa"/>
                  <w:vAlign w:val="center"/>
                </w:tcPr>
                <w:p>
                  <w:pPr>
                    <w:snapToGrid w:val="0"/>
                    <w:jc w:val="center"/>
                    <w:rPr>
                      <w:color w:val="auto"/>
                      <w:szCs w:val="21"/>
                      <w:highlight w:val="none"/>
                    </w:rPr>
                  </w:pPr>
                  <w:r>
                    <w:rPr>
                      <w:color w:val="auto"/>
                      <w:szCs w:val="21"/>
                      <w:highlight w:val="none"/>
                    </w:rPr>
                    <w:t>550</w:t>
                  </w:r>
                </w:p>
              </w:tc>
              <w:tc>
                <w:tcPr>
                  <w:tcW w:w="996" w:type="dxa"/>
                  <w:vAlign w:val="center"/>
                </w:tcPr>
                <w:p>
                  <w:pPr>
                    <w:snapToGrid w:val="0"/>
                    <w:jc w:val="center"/>
                    <w:rPr>
                      <w:color w:val="auto"/>
                      <w:szCs w:val="21"/>
                      <w:highlight w:val="none"/>
                    </w:rPr>
                  </w:pPr>
                  <w:r>
                    <w:rPr>
                      <w:color w:val="auto"/>
                      <w:szCs w:val="21"/>
                      <w:highlight w:val="none"/>
                    </w:rPr>
                    <w:t>650</w:t>
                  </w:r>
                </w:p>
              </w:tc>
              <w:tc>
                <w:tcPr>
                  <w:tcW w:w="996" w:type="dxa"/>
                  <w:vAlign w:val="center"/>
                </w:tcPr>
                <w:p>
                  <w:pPr>
                    <w:snapToGrid w:val="0"/>
                    <w:jc w:val="center"/>
                    <w:rPr>
                      <w:color w:val="auto"/>
                      <w:szCs w:val="21"/>
                      <w:highlight w:val="none"/>
                    </w:rPr>
                  </w:pPr>
                  <w:r>
                    <w:rPr>
                      <w:color w:val="auto"/>
                      <w:szCs w:val="21"/>
                      <w:highlight w:val="none"/>
                    </w:rPr>
                    <w:t>750</w:t>
                  </w:r>
                </w:p>
              </w:tc>
              <w:tc>
                <w:tcPr>
                  <w:tcW w:w="996" w:type="dxa"/>
                  <w:vAlign w:val="center"/>
                </w:tcPr>
                <w:p>
                  <w:pPr>
                    <w:snapToGrid w:val="0"/>
                    <w:jc w:val="center"/>
                    <w:rPr>
                      <w:color w:val="auto"/>
                      <w:szCs w:val="21"/>
                      <w:highlight w:val="none"/>
                    </w:rPr>
                  </w:pPr>
                  <w:r>
                    <w:rPr>
                      <w:color w:val="auto"/>
                      <w:szCs w:val="21"/>
                      <w:highlight w:val="none"/>
                    </w:rPr>
                    <w:t>85</w:t>
                  </w:r>
                  <w:r>
                    <w:rPr>
                      <w:rFonts w:hint="eastAsia"/>
                      <w:color w:val="auto"/>
                      <w:szCs w:val="21"/>
                      <w:highlight w:val="none"/>
                    </w:rPr>
                    <w:t>0</w:t>
                  </w:r>
                </w:p>
              </w:tc>
              <w:tc>
                <w:tcPr>
                  <w:tcW w:w="996" w:type="dxa"/>
                  <w:vAlign w:val="center"/>
                </w:tcPr>
                <w:p>
                  <w:pPr>
                    <w:snapToGrid w:val="0"/>
                    <w:jc w:val="center"/>
                    <w:rPr>
                      <w:color w:val="auto"/>
                      <w:szCs w:val="21"/>
                      <w:highlight w:val="none"/>
                    </w:rPr>
                  </w:pPr>
                  <w:r>
                    <w:rPr>
                      <w:color w:val="auto"/>
                      <w:szCs w:val="21"/>
                      <w:highlight w:val="none"/>
                    </w:rPr>
                    <w:t>950</w:t>
                  </w:r>
                </w:p>
              </w:tc>
              <w:tc>
                <w:tcPr>
                  <w:tcW w:w="996" w:type="dxa"/>
                  <w:vAlign w:val="center"/>
                </w:tcPr>
                <w:p>
                  <w:pPr>
                    <w:snapToGrid w:val="0"/>
                    <w:jc w:val="center"/>
                    <w:rPr>
                      <w:color w:val="auto"/>
                      <w:szCs w:val="21"/>
                      <w:highlight w:val="none"/>
                    </w:rPr>
                  </w:pPr>
                  <w:r>
                    <w:rPr>
                      <w:color w:val="auto"/>
                      <w:szCs w:val="21"/>
                      <w:highlight w:val="none"/>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2242" w:type="dxa"/>
                  <w:vAlign w:val="center"/>
                </w:tcPr>
                <w:p>
                  <w:pPr>
                    <w:snapToGrid w:val="0"/>
                    <w:jc w:val="center"/>
                    <w:rPr>
                      <w:color w:val="auto"/>
                      <w:szCs w:val="21"/>
                      <w:highlight w:val="none"/>
                    </w:rPr>
                  </w:pPr>
                  <w:r>
                    <w:rPr>
                      <w:color w:val="auto"/>
                      <w:szCs w:val="21"/>
                      <w:highlight w:val="none"/>
                    </w:rPr>
                    <w:t>沉降速度 (m/s)</w:t>
                  </w:r>
                </w:p>
              </w:tc>
              <w:tc>
                <w:tcPr>
                  <w:tcW w:w="996" w:type="dxa"/>
                  <w:vAlign w:val="center"/>
                </w:tcPr>
                <w:p>
                  <w:pPr>
                    <w:snapToGrid w:val="0"/>
                    <w:jc w:val="center"/>
                    <w:rPr>
                      <w:color w:val="auto"/>
                      <w:szCs w:val="21"/>
                      <w:highlight w:val="none"/>
                    </w:rPr>
                  </w:pPr>
                  <w:r>
                    <w:rPr>
                      <w:color w:val="auto"/>
                      <w:szCs w:val="21"/>
                      <w:highlight w:val="none"/>
                    </w:rPr>
                    <w:t>2.211</w:t>
                  </w:r>
                </w:p>
              </w:tc>
              <w:tc>
                <w:tcPr>
                  <w:tcW w:w="996" w:type="dxa"/>
                  <w:vAlign w:val="center"/>
                </w:tcPr>
                <w:p>
                  <w:pPr>
                    <w:snapToGrid w:val="0"/>
                    <w:jc w:val="center"/>
                    <w:rPr>
                      <w:color w:val="auto"/>
                      <w:szCs w:val="21"/>
                      <w:highlight w:val="none"/>
                    </w:rPr>
                  </w:pPr>
                  <w:r>
                    <w:rPr>
                      <w:color w:val="auto"/>
                      <w:szCs w:val="21"/>
                      <w:highlight w:val="none"/>
                    </w:rPr>
                    <w:t>2.614</w:t>
                  </w:r>
                </w:p>
              </w:tc>
              <w:tc>
                <w:tcPr>
                  <w:tcW w:w="996" w:type="dxa"/>
                  <w:vAlign w:val="center"/>
                </w:tcPr>
                <w:p>
                  <w:pPr>
                    <w:snapToGrid w:val="0"/>
                    <w:jc w:val="center"/>
                    <w:rPr>
                      <w:color w:val="auto"/>
                      <w:szCs w:val="21"/>
                      <w:highlight w:val="none"/>
                    </w:rPr>
                  </w:pPr>
                  <w:r>
                    <w:rPr>
                      <w:color w:val="auto"/>
                      <w:szCs w:val="21"/>
                      <w:highlight w:val="none"/>
                    </w:rPr>
                    <w:t>3.016</w:t>
                  </w:r>
                </w:p>
              </w:tc>
              <w:tc>
                <w:tcPr>
                  <w:tcW w:w="996" w:type="dxa"/>
                  <w:vAlign w:val="center"/>
                </w:tcPr>
                <w:p>
                  <w:pPr>
                    <w:snapToGrid w:val="0"/>
                    <w:jc w:val="center"/>
                    <w:rPr>
                      <w:color w:val="auto"/>
                      <w:szCs w:val="21"/>
                      <w:highlight w:val="none"/>
                    </w:rPr>
                  </w:pPr>
                  <w:r>
                    <w:rPr>
                      <w:color w:val="auto"/>
                      <w:szCs w:val="21"/>
                      <w:highlight w:val="none"/>
                    </w:rPr>
                    <w:t>3.418</w:t>
                  </w:r>
                </w:p>
              </w:tc>
              <w:tc>
                <w:tcPr>
                  <w:tcW w:w="996" w:type="dxa"/>
                  <w:vAlign w:val="center"/>
                </w:tcPr>
                <w:p>
                  <w:pPr>
                    <w:snapToGrid w:val="0"/>
                    <w:jc w:val="center"/>
                    <w:rPr>
                      <w:color w:val="auto"/>
                      <w:szCs w:val="21"/>
                      <w:highlight w:val="none"/>
                    </w:rPr>
                  </w:pPr>
                  <w:r>
                    <w:rPr>
                      <w:color w:val="auto"/>
                      <w:szCs w:val="21"/>
                      <w:highlight w:val="none"/>
                    </w:rPr>
                    <w:t>3.820</w:t>
                  </w:r>
                </w:p>
              </w:tc>
              <w:tc>
                <w:tcPr>
                  <w:tcW w:w="996" w:type="dxa"/>
                  <w:vAlign w:val="center"/>
                </w:tcPr>
                <w:p>
                  <w:pPr>
                    <w:snapToGrid w:val="0"/>
                    <w:jc w:val="center"/>
                    <w:rPr>
                      <w:color w:val="auto"/>
                      <w:szCs w:val="21"/>
                      <w:highlight w:val="none"/>
                    </w:rPr>
                  </w:pPr>
                  <w:r>
                    <w:rPr>
                      <w:color w:val="auto"/>
                      <w:szCs w:val="21"/>
                      <w:highlight w:val="none"/>
                    </w:rPr>
                    <w:t>4.222</w:t>
                  </w:r>
                </w:p>
              </w:tc>
              <w:tc>
                <w:tcPr>
                  <w:tcW w:w="996" w:type="dxa"/>
                  <w:vAlign w:val="center"/>
                </w:tcPr>
                <w:p>
                  <w:pPr>
                    <w:snapToGrid w:val="0"/>
                    <w:jc w:val="center"/>
                    <w:rPr>
                      <w:color w:val="auto"/>
                      <w:szCs w:val="21"/>
                      <w:highlight w:val="none"/>
                    </w:rPr>
                  </w:pPr>
                  <w:r>
                    <w:rPr>
                      <w:color w:val="auto"/>
                      <w:szCs w:val="21"/>
                      <w:highlight w:val="none"/>
                    </w:rPr>
                    <w:t>4.624</w:t>
                  </w:r>
                </w:p>
              </w:tc>
            </w:tr>
          </w:tbl>
          <w:p>
            <w:pPr>
              <w:spacing w:line="360" w:lineRule="auto"/>
              <w:ind w:firstLine="480" w:firstLineChars="200"/>
              <w:rPr>
                <w:color w:val="auto"/>
                <w:sz w:val="24"/>
                <w:highlight w:val="none"/>
              </w:rPr>
            </w:pPr>
            <w:r>
              <w:rPr>
                <w:color w:val="auto"/>
                <w:sz w:val="24"/>
                <w:highlight w:val="none"/>
              </w:rPr>
              <w:t>由</w:t>
            </w:r>
            <w:r>
              <w:rPr>
                <w:rFonts w:hint="eastAsia"/>
                <w:color w:val="auto"/>
                <w:sz w:val="24"/>
                <w:highlight w:val="none"/>
              </w:rPr>
              <w:t>上</w:t>
            </w:r>
            <w:r>
              <w:rPr>
                <w:color w:val="auto"/>
                <w:sz w:val="24"/>
                <w:highlight w:val="none"/>
              </w:rPr>
              <w:t>表可知，尘粒的沉降速度随粒径的增大而迅速增大。当粒径为250μm时，沉降速度为1.005m/s，因此可以认为当尘粒大于250μm时，主要影响范围在扬尘点下风向近距离范围内，而真正对外环境产生影响的是一些微小尘粒。</w:t>
            </w:r>
            <w:r>
              <w:rPr>
                <w:rFonts w:hint="eastAsia"/>
                <w:color w:val="auto"/>
                <w:sz w:val="24"/>
                <w:highlight w:val="none"/>
              </w:rPr>
              <w:t>根据现场的气候情况不同其影响范围也不同。</w:t>
            </w:r>
          </w:p>
          <w:p>
            <w:pPr>
              <w:spacing w:line="360" w:lineRule="auto"/>
              <w:ind w:firstLine="480" w:firstLineChars="200"/>
              <w:rPr>
                <w:color w:val="auto"/>
                <w:sz w:val="24"/>
                <w:highlight w:val="none"/>
              </w:rPr>
            </w:pPr>
            <w:r>
              <w:rPr>
                <w:rFonts w:hint="eastAsia"/>
                <w:color w:val="auto"/>
                <w:sz w:val="24"/>
                <w:highlight w:val="none"/>
              </w:rPr>
              <w:t>（3）人来车往造成的现场道路扬尘</w:t>
            </w:r>
          </w:p>
          <w:p>
            <w:pPr>
              <w:spacing w:line="360" w:lineRule="auto"/>
              <w:ind w:firstLine="480" w:firstLineChars="200"/>
              <w:rPr>
                <w:color w:val="auto"/>
                <w:sz w:val="24"/>
                <w:highlight w:val="none"/>
              </w:rPr>
            </w:pPr>
            <w:r>
              <w:rPr>
                <w:rFonts w:hint="eastAsia"/>
                <w:color w:val="auto"/>
                <w:sz w:val="24"/>
                <w:highlight w:val="none"/>
              </w:rPr>
              <w:t>类比湖南省不同施工状况施工地点进行现场检测的监测结果表明，工地道路扬尘是建筑施工工地扬尘的主要来源，占全部扬尘的62%，车辆行驶产生的扬尘在完全干燥的情况下按照一下经验公式计算：</w:t>
            </w:r>
          </w:p>
          <w:p>
            <w:pPr>
              <w:pStyle w:val="14"/>
              <w:spacing w:line="460" w:lineRule="exact"/>
              <w:ind w:firstLine="560" w:firstLineChars="200"/>
              <w:jc w:val="center"/>
              <w:rPr>
                <w:rFonts w:ascii="Times New Roman"/>
                <w:color w:val="auto"/>
                <w:position w:val="-12"/>
                <w:highlight w:val="none"/>
              </w:rPr>
            </w:pPr>
            <w:r>
              <w:rPr>
                <w:rFonts w:ascii="Times New Roman"/>
                <w:color w:val="auto"/>
                <w:position w:val="-10"/>
                <w:highlight w:val="none"/>
              </w:rPr>
              <w:drawing>
                <wp:inline distT="0" distB="0" distL="0" distR="0">
                  <wp:extent cx="2971800" cy="285750"/>
                  <wp:effectExtent l="19050" t="0" r="0" b="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noChangeArrowheads="1"/>
                          </pic:cNvPicPr>
                        </pic:nvPicPr>
                        <pic:blipFill>
                          <a:blip r:embed="rId49"/>
                          <a:srcRect/>
                          <a:stretch>
                            <a:fillRect/>
                          </a:stretch>
                        </pic:blipFill>
                        <pic:spPr>
                          <a:xfrm>
                            <a:off x="0" y="0"/>
                            <a:ext cx="2971800" cy="285750"/>
                          </a:xfrm>
                          <a:prstGeom prst="rect">
                            <a:avLst/>
                          </a:prstGeom>
                          <a:noFill/>
                          <a:ln w="9525">
                            <a:noFill/>
                            <a:miter lim="800000"/>
                            <a:headEnd/>
                            <a:tailEnd/>
                          </a:ln>
                        </pic:spPr>
                      </pic:pic>
                    </a:graphicData>
                  </a:graphic>
                </wp:inline>
              </w:drawing>
            </w:r>
          </w:p>
          <w:p>
            <w:pPr>
              <w:pStyle w:val="9"/>
              <w:spacing w:line="460" w:lineRule="exact"/>
              <w:ind w:left="1050" w:right="3263" w:firstLine="480"/>
              <w:rPr>
                <w:rFonts w:ascii="Times New Roman" w:hAnsi="Times New Roman"/>
                <w:color w:val="auto"/>
                <w:sz w:val="24"/>
                <w:highlight w:val="none"/>
              </w:rPr>
            </w:pPr>
            <w:r>
              <w:rPr>
                <w:rFonts w:ascii="Times New Roman" w:hAnsi="Times New Roman"/>
                <w:color w:val="auto"/>
                <w:sz w:val="24"/>
                <w:highlight w:val="none"/>
              </w:rPr>
              <w:t>其中：Q—汽车行驶的扬尘，kg/km·辆；</w:t>
            </w:r>
          </w:p>
          <w:p>
            <w:pPr>
              <w:pStyle w:val="9"/>
              <w:spacing w:line="460" w:lineRule="exact"/>
              <w:ind w:left="1050" w:right="3263" w:firstLine="1188" w:firstLineChars="495"/>
              <w:rPr>
                <w:rFonts w:ascii="Times New Roman" w:hAnsi="Times New Roman"/>
                <w:color w:val="auto"/>
                <w:sz w:val="24"/>
                <w:highlight w:val="none"/>
              </w:rPr>
            </w:pPr>
            <w:r>
              <w:rPr>
                <w:rFonts w:ascii="Times New Roman" w:hAnsi="Times New Roman"/>
                <w:color w:val="auto"/>
                <w:sz w:val="24"/>
                <w:highlight w:val="none"/>
              </w:rPr>
              <w:t>V—汽车速度，Km/hr；</w:t>
            </w:r>
          </w:p>
          <w:p>
            <w:pPr>
              <w:pStyle w:val="9"/>
              <w:spacing w:line="460" w:lineRule="exact"/>
              <w:ind w:left="1050" w:right="3263" w:firstLine="1188" w:firstLineChars="495"/>
              <w:rPr>
                <w:rFonts w:ascii="Times New Roman" w:hAnsi="Times New Roman"/>
                <w:color w:val="auto"/>
                <w:sz w:val="24"/>
                <w:highlight w:val="none"/>
              </w:rPr>
            </w:pPr>
            <w:r>
              <w:rPr>
                <w:rFonts w:ascii="Times New Roman" w:hAnsi="Times New Roman"/>
                <w:color w:val="auto"/>
                <w:sz w:val="24"/>
                <w:highlight w:val="none"/>
              </w:rPr>
              <w:t>W—汽车载重量，吨；</w:t>
            </w:r>
          </w:p>
          <w:p>
            <w:pPr>
              <w:pStyle w:val="9"/>
              <w:spacing w:line="460" w:lineRule="exact"/>
              <w:ind w:left="1050" w:right="3263" w:firstLine="1188" w:firstLineChars="495"/>
              <w:rPr>
                <w:rFonts w:ascii="Times New Roman" w:hAnsi="Times New Roman"/>
                <w:color w:val="auto"/>
                <w:sz w:val="24"/>
                <w:highlight w:val="none"/>
              </w:rPr>
            </w:pPr>
            <w:r>
              <w:rPr>
                <w:rFonts w:ascii="Times New Roman" w:hAnsi="Times New Roman"/>
                <w:color w:val="auto"/>
                <w:sz w:val="24"/>
                <w:highlight w:val="none"/>
              </w:rPr>
              <w:t>P—道路表面粉尘量，kg/m</w:t>
            </w:r>
            <w:r>
              <w:rPr>
                <w:rFonts w:ascii="Times New Roman" w:hAnsi="Times New Roman"/>
                <w:color w:val="auto"/>
                <w:sz w:val="24"/>
                <w:highlight w:val="none"/>
                <w:vertAlign w:val="superscript"/>
              </w:rPr>
              <w:t>2</w:t>
            </w:r>
            <w:r>
              <w:rPr>
                <w:rFonts w:ascii="Times New Roman" w:hAnsi="Times New Roman"/>
                <w:color w:val="auto"/>
                <w:sz w:val="24"/>
                <w:highlight w:val="none"/>
              </w:rPr>
              <w:t>。</w:t>
            </w:r>
          </w:p>
          <w:p>
            <w:pPr>
              <w:spacing w:line="360" w:lineRule="auto"/>
              <w:ind w:firstLine="480" w:firstLineChars="200"/>
              <w:rPr>
                <w:color w:val="auto"/>
                <w:sz w:val="24"/>
                <w:highlight w:val="none"/>
              </w:rPr>
            </w:pPr>
            <w:r>
              <w:rPr>
                <w:color w:val="auto"/>
                <w:sz w:val="24"/>
                <w:highlight w:val="none"/>
              </w:rPr>
              <w:t>表5-</w:t>
            </w:r>
            <w:r>
              <w:rPr>
                <w:rFonts w:hint="eastAsia"/>
                <w:color w:val="auto"/>
                <w:sz w:val="24"/>
                <w:highlight w:val="none"/>
              </w:rPr>
              <w:t>4</w:t>
            </w:r>
            <w:r>
              <w:rPr>
                <w:color w:val="auto"/>
                <w:sz w:val="24"/>
                <w:highlight w:val="none"/>
              </w:rPr>
              <w:t>为一辆10吨卡车通过一段长度为1km的路面时。不同路面清洁程度及不同行驶速度情况下的扬尘量。</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5-4  在不同车速和地面清洁程度的汽车扬尘单位：</w:t>
            </w:r>
            <w:r>
              <w:rPr>
                <w:b/>
                <w:color w:val="auto"/>
                <w:sz w:val="24"/>
                <w:highlight w:val="none"/>
              </w:rPr>
              <w:t>kg/</w:t>
            </w:r>
            <w:r>
              <w:rPr>
                <w:rFonts w:hint="eastAsia"/>
                <w:b/>
                <w:color w:val="auto"/>
                <w:sz w:val="24"/>
                <w:highlight w:val="none"/>
              </w:rPr>
              <w:t>辆</w:t>
            </w:r>
            <w:r>
              <w:rPr>
                <w:b/>
                <w:color w:val="auto"/>
                <w:sz w:val="24"/>
                <w:highlight w:val="none"/>
              </w:rPr>
              <w:t>·</w:t>
            </w:r>
            <w:r>
              <w:rPr>
                <w:rFonts w:hint="eastAsia"/>
                <w:b/>
                <w:color w:val="auto"/>
                <w:sz w:val="24"/>
                <w:highlight w:val="none"/>
              </w:rPr>
              <w:t>公里</w:t>
            </w:r>
          </w:p>
          <w:tbl>
            <w:tblPr>
              <w:tblStyle w:val="29"/>
              <w:tblW w:w="921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312"/>
              <w:gridCol w:w="1313"/>
              <w:gridCol w:w="1313"/>
              <w:gridCol w:w="1313"/>
              <w:gridCol w:w="1313"/>
              <w:gridCol w:w="13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P车速</w:t>
                  </w:r>
                </w:p>
              </w:tc>
              <w:tc>
                <w:tcPr>
                  <w:tcW w:w="131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0.1（kg/m</w:t>
                  </w:r>
                  <w:r>
                    <w:rPr>
                      <w:rFonts w:ascii="Times New Roman"/>
                      <w:color w:val="auto"/>
                      <w:sz w:val="21"/>
                      <w:szCs w:val="21"/>
                      <w:highlight w:val="none"/>
                      <w:vertAlign w:val="superscript"/>
                    </w:rPr>
                    <w:t>2</w:t>
                  </w:r>
                  <w:r>
                    <w:rPr>
                      <w:rFonts w:ascii="Times New Roman"/>
                      <w:color w:val="auto"/>
                      <w:sz w:val="21"/>
                      <w:szCs w:val="21"/>
                      <w:highlight w:val="none"/>
                    </w:rPr>
                    <w:t>）</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0.2（kg/m</w:t>
                  </w:r>
                  <w:r>
                    <w:rPr>
                      <w:rFonts w:ascii="Times New Roman"/>
                      <w:color w:val="auto"/>
                      <w:sz w:val="21"/>
                      <w:szCs w:val="21"/>
                      <w:highlight w:val="none"/>
                      <w:vertAlign w:val="superscript"/>
                    </w:rPr>
                    <w:t>2</w:t>
                  </w:r>
                  <w:r>
                    <w:rPr>
                      <w:rFonts w:ascii="Times New Roman"/>
                      <w:color w:val="auto"/>
                      <w:sz w:val="21"/>
                      <w:szCs w:val="21"/>
                      <w:highlight w:val="none"/>
                    </w:rPr>
                    <w:t>）</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0.3（kg/m</w:t>
                  </w:r>
                  <w:r>
                    <w:rPr>
                      <w:rFonts w:ascii="Times New Roman"/>
                      <w:color w:val="auto"/>
                      <w:sz w:val="21"/>
                      <w:szCs w:val="21"/>
                      <w:highlight w:val="none"/>
                      <w:vertAlign w:val="superscript"/>
                    </w:rPr>
                    <w:t>2</w:t>
                  </w:r>
                  <w:r>
                    <w:rPr>
                      <w:rFonts w:ascii="Times New Roman"/>
                      <w:color w:val="auto"/>
                      <w:sz w:val="21"/>
                      <w:szCs w:val="21"/>
                      <w:highlight w:val="none"/>
                    </w:rPr>
                    <w:t>）</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0.4（kg/m</w:t>
                  </w:r>
                  <w:r>
                    <w:rPr>
                      <w:rFonts w:ascii="Times New Roman"/>
                      <w:color w:val="auto"/>
                      <w:sz w:val="21"/>
                      <w:szCs w:val="21"/>
                      <w:highlight w:val="none"/>
                      <w:vertAlign w:val="superscript"/>
                    </w:rPr>
                    <w:t>2</w:t>
                  </w:r>
                  <w:r>
                    <w:rPr>
                      <w:rFonts w:ascii="Times New Roman"/>
                      <w:color w:val="auto"/>
                      <w:sz w:val="21"/>
                      <w:szCs w:val="21"/>
                      <w:highlight w:val="none"/>
                    </w:rPr>
                    <w:t>）</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0.5（kg/m</w:t>
                  </w:r>
                  <w:r>
                    <w:rPr>
                      <w:rFonts w:ascii="Times New Roman"/>
                      <w:color w:val="auto"/>
                      <w:sz w:val="21"/>
                      <w:szCs w:val="21"/>
                      <w:highlight w:val="none"/>
                      <w:vertAlign w:val="superscript"/>
                    </w:rPr>
                    <w:t>2</w:t>
                  </w:r>
                  <w:r>
                    <w:rPr>
                      <w:rFonts w:ascii="Times New Roman"/>
                      <w:color w:val="auto"/>
                      <w:sz w:val="21"/>
                      <w:szCs w:val="21"/>
                      <w:highlight w:val="none"/>
                    </w:rPr>
                    <w:t>）</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1（kg/m</w:t>
                  </w:r>
                  <w:r>
                    <w:rPr>
                      <w:rFonts w:ascii="Times New Roman"/>
                      <w:color w:val="auto"/>
                      <w:sz w:val="21"/>
                      <w:szCs w:val="21"/>
                      <w:highlight w:val="none"/>
                      <w:vertAlign w:val="superscript"/>
                    </w:rPr>
                    <w:t>2</w:t>
                  </w:r>
                  <w:r>
                    <w:rPr>
                      <w:rFonts w:ascii="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7" w:type="dxa"/>
                  <w:vAlign w:val="center"/>
                </w:tcPr>
                <w:p>
                  <w:pPr>
                    <w:spacing w:before="100" w:beforeAutospacing="1" w:after="100" w:afterAutospacing="1"/>
                    <w:jc w:val="center"/>
                    <w:rPr>
                      <w:color w:val="auto"/>
                      <w:szCs w:val="21"/>
                      <w:highlight w:val="none"/>
                    </w:rPr>
                  </w:pPr>
                  <w:r>
                    <w:rPr>
                      <w:color w:val="auto"/>
                      <w:szCs w:val="21"/>
                      <w:highlight w:val="none"/>
                    </w:rPr>
                    <w:t>5（Km/hr）</w:t>
                  </w:r>
                </w:p>
              </w:tc>
              <w:tc>
                <w:tcPr>
                  <w:tcW w:w="131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0.051506</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0.085865</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0.116382</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0.144408</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0.170715</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0.287108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7" w:type="dxa"/>
                  <w:vAlign w:val="center"/>
                </w:tcPr>
                <w:p>
                  <w:pPr>
                    <w:spacing w:before="100" w:beforeAutospacing="1" w:after="100" w:afterAutospacing="1"/>
                    <w:jc w:val="center"/>
                    <w:rPr>
                      <w:color w:val="auto"/>
                      <w:szCs w:val="21"/>
                      <w:highlight w:val="none"/>
                    </w:rPr>
                  </w:pPr>
                  <w:r>
                    <w:rPr>
                      <w:color w:val="auto"/>
                      <w:szCs w:val="21"/>
                      <w:highlight w:val="none"/>
                    </w:rPr>
                    <w:t>10（Km/hr）</w:t>
                  </w:r>
                </w:p>
              </w:tc>
              <w:tc>
                <w:tcPr>
                  <w:tcW w:w="131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0.102112</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0.171731</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0.232764</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0.288815</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0.341431</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0.574216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7" w:type="dxa"/>
                  <w:vAlign w:val="center"/>
                </w:tcPr>
                <w:p>
                  <w:pPr>
                    <w:spacing w:before="100" w:beforeAutospacing="1" w:after="100" w:afterAutospacing="1"/>
                    <w:jc w:val="center"/>
                    <w:rPr>
                      <w:color w:val="auto"/>
                      <w:szCs w:val="21"/>
                      <w:highlight w:val="none"/>
                    </w:rPr>
                  </w:pPr>
                  <w:r>
                    <w:rPr>
                      <w:color w:val="auto"/>
                      <w:szCs w:val="21"/>
                      <w:highlight w:val="none"/>
                    </w:rPr>
                    <w:t>15（Km/hr）</w:t>
                  </w:r>
                </w:p>
              </w:tc>
              <w:tc>
                <w:tcPr>
                  <w:tcW w:w="131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0.153167</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0.257596</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0.349146</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0.433223</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0.512146</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0.861323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37" w:type="dxa"/>
                  <w:vAlign w:val="center"/>
                </w:tcPr>
                <w:p>
                  <w:pPr>
                    <w:spacing w:before="100" w:beforeAutospacing="1" w:after="100" w:afterAutospacing="1"/>
                    <w:jc w:val="center"/>
                    <w:rPr>
                      <w:color w:val="auto"/>
                      <w:szCs w:val="21"/>
                      <w:highlight w:val="none"/>
                    </w:rPr>
                  </w:pPr>
                  <w:r>
                    <w:rPr>
                      <w:color w:val="auto"/>
                      <w:szCs w:val="21"/>
                      <w:highlight w:val="none"/>
                    </w:rPr>
                    <w:t>25（Km/hr）</w:t>
                  </w:r>
                </w:p>
              </w:tc>
              <w:tc>
                <w:tcPr>
                  <w:tcW w:w="131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0.255279</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0.429326</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0.58191</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0.722038</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0.853577</w:t>
                  </w:r>
                </w:p>
              </w:tc>
              <w:tc>
                <w:tcPr>
                  <w:tcW w:w="131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ascii="Times New Roman"/>
                      <w:color w:val="auto"/>
                      <w:sz w:val="21"/>
                      <w:szCs w:val="21"/>
                      <w:highlight w:val="none"/>
                    </w:rPr>
                    <w:t>1.435539</w:t>
                  </w:r>
                </w:p>
              </w:tc>
            </w:tr>
          </w:tbl>
          <w:p>
            <w:pPr>
              <w:spacing w:line="360" w:lineRule="auto"/>
              <w:ind w:firstLine="480" w:firstLineChars="200"/>
              <w:rPr>
                <w:color w:val="auto"/>
                <w:sz w:val="24"/>
                <w:highlight w:val="none"/>
              </w:rPr>
            </w:pPr>
            <w:r>
              <w:rPr>
                <w:color w:val="auto"/>
                <w:sz w:val="24"/>
                <w:highlight w:val="none"/>
              </w:rPr>
              <w:t>由上表可见在同样路面清洁程度条件下，车速越快，扬尘量越大；而在同样车速情况下，路面越脏，则扬尘量越大。因此限制车速和爆出路面清洁是减少汽车扬尘的有效手段。</w:t>
            </w:r>
          </w:p>
          <w:p>
            <w:pPr>
              <w:spacing w:line="360" w:lineRule="auto"/>
              <w:ind w:firstLine="480" w:firstLineChars="200"/>
              <w:rPr>
                <w:color w:val="auto"/>
                <w:sz w:val="24"/>
                <w:highlight w:val="none"/>
              </w:rPr>
            </w:pPr>
            <w:r>
              <w:rPr>
                <w:color w:val="auto"/>
                <w:sz w:val="24"/>
                <w:highlight w:val="none"/>
              </w:rPr>
              <w:t>（4）施工机械燃油废气影响分析</w:t>
            </w:r>
          </w:p>
          <w:p>
            <w:pPr>
              <w:spacing w:line="360" w:lineRule="auto"/>
              <w:ind w:firstLine="480" w:firstLineChars="200"/>
              <w:rPr>
                <w:color w:val="auto"/>
                <w:sz w:val="24"/>
                <w:highlight w:val="none"/>
              </w:rPr>
            </w:pPr>
            <w:r>
              <w:rPr>
                <w:color w:val="auto"/>
                <w:sz w:val="24"/>
                <w:highlight w:val="none"/>
              </w:rPr>
              <w:t>施工中将使用各类大、中、小施工机械，主要以汽油、柴油等燃烧为动力，特别是大型工程机械将使用柴油作动力，排放的尾气、烟气均含有一定浓度的大气污染物，主要包括HC、SO</w:t>
            </w:r>
            <w:r>
              <w:rPr>
                <w:color w:val="auto"/>
                <w:sz w:val="24"/>
                <w:highlight w:val="none"/>
                <w:vertAlign w:val="subscript"/>
              </w:rPr>
              <w:t>2</w:t>
            </w:r>
            <w:r>
              <w:rPr>
                <w:color w:val="auto"/>
                <w:sz w:val="24"/>
                <w:highlight w:val="none"/>
              </w:rPr>
              <w:t>、NOx、碳烟。根据《环境保护实用数据手册》，柴油机尾气排口各污染物排放浓度约为HC＜1800mg/m</w:t>
            </w:r>
            <w:r>
              <w:rPr>
                <w:color w:val="auto"/>
                <w:sz w:val="24"/>
                <w:highlight w:val="none"/>
                <w:vertAlign w:val="superscript"/>
              </w:rPr>
              <w:t>3</w:t>
            </w:r>
            <w:r>
              <w:rPr>
                <w:color w:val="auto"/>
                <w:sz w:val="24"/>
                <w:highlight w:val="none"/>
              </w:rPr>
              <w:t>、SO</w:t>
            </w:r>
            <w:r>
              <w:rPr>
                <w:color w:val="auto"/>
                <w:sz w:val="24"/>
                <w:highlight w:val="none"/>
                <w:vertAlign w:val="subscript"/>
              </w:rPr>
              <w:t>2</w:t>
            </w:r>
            <w:r>
              <w:rPr>
                <w:color w:val="auto"/>
                <w:sz w:val="24"/>
                <w:highlight w:val="none"/>
              </w:rPr>
              <w:t>＜270mg/m</w:t>
            </w:r>
            <w:r>
              <w:rPr>
                <w:color w:val="auto"/>
                <w:sz w:val="24"/>
                <w:highlight w:val="none"/>
                <w:vertAlign w:val="superscript"/>
              </w:rPr>
              <w:t>3</w:t>
            </w:r>
            <w:r>
              <w:rPr>
                <w:color w:val="auto"/>
                <w:sz w:val="24"/>
                <w:highlight w:val="none"/>
              </w:rPr>
              <w:t>、NOx＜2500mg/m</w:t>
            </w:r>
            <w:r>
              <w:rPr>
                <w:color w:val="auto"/>
                <w:sz w:val="24"/>
                <w:highlight w:val="none"/>
                <w:vertAlign w:val="superscript"/>
              </w:rPr>
              <w:t>3</w:t>
            </w:r>
            <w:r>
              <w:rPr>
                <w:color w:val="auto"/>
                <w:sz w:val="24"/>
                <w:highlight w:val="none"/>
              </w:rPr>
              <w:t>、碳烟＜250mg/m</w:t>
            </w:r>
            <w:r>
              <w:rPr>
                <w:color w:val="auto"/>
                <w:sz w:val="24"/>
                <w:highlight w:val="none"/>
                <w:vertAlign w:val="superscript"/>
              </w:rPr>
              <w:t>3</w:t>
            </w:r>
            <w:r>
              <w:rPr>
                <w:color w:val="auto"/>
                <w:sz w:val="24"/>
                <w:highlight w:val="none"/>
              </w:rPr>
              <w:t>。</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5.2.3 废水</w:t>
            </w:r>
          </w:p>
          <w:p>
            <w:pPr>
              <w:spacing w:line="360" w:lineRule="auto"/>
              <w:ind w:firstLine="480" w:firstLineChars="200"/>
              <w:rPr>
                <w:color w:val="auto"/>
                <w:sz w:val="24"/>
                <w:highlight w:val="none"/>
              </w:rPr>
            </w:pPr>
            <w:r>
              <w:rPr>
                <w:rFonts w:hint="eastAsia"/>
                <w:color w:val="auto"/>
                <w:sz w:val="24"/>
                <w:highlight w:val="none"/>
              </w:rPr>
              <w:t>（1）施工废水</w:t>
            </w:r>
          </w:p>
          <w:p>
            <w:pPr>
              <w:spacing w:line="360" w:lineRule="auto"/>
              <w:ind w:firstLine="480" w:firstLineChars="200"/>
              <w:rPr>
                <w:color w:val="auto"/>
                <w:sz w:val="24"/>
                <w:highlight w:val="none"/>
              </w:rPr>
            </w:pPr>
            <w:r>
              <w:rPr>
                <w:rFonts w:hint="eastAsia"/>
                <w:color w:val="auto"/>
                <w:sz w:val="24"/>
                <w:highlight w:val="none"/>
              </w:rPr>
              <w:t>项目施工过程中废水主要来源于：①施工机械冲洗废水；②施工机械跑、冒、滴、漏的含油污水；③含泥沙废水（雨水冲刷堆放的建筑材料、疏松裸露的地面产生）。</w:t>
            </w:r>
            <w:r>
              <w:rPr>
                <w:color w:val="auto"/>
                <w:sz w:val="24"/>
                <w:highlight w:val="none"/>
              </w:rPr>
              <w:t>类比同类项目，</w:t>
            </w:r>
            <w:r>
              <w:rPr>
                <w:rFonts w:hint="eastAsia"/>
                <w:color w:val="auto"/>
                <w:sz w:val="24"/>
                <w:highlight w:val="none"/>
              </w:rPr>
              <w:t>施工废水</w:t>
            </w:r>
            <w:r>
              <w:rPr>
                <w:color w:val="auto"/>
                <w:sz w:val="24"/>
                <w:highlight w:val="none"/>
              </w:rPr>
              <w:t>主要污染物为SS和石油类，其浓度分别为</w:t>
            </w:r>
            <w:r>
              <w:rPr>
                <w:rFonts w:hint="eastAsia"/>
                <w:color w:val="auto"/>
                <w:sz w:val="24"/>
                <w:highlight w:val="none"/>
              </w:rPr>
              <w:t>COD 300mg/L、SS 400mg/L、石油类30mg/L</w:t>
            </w:r>
            <w:r>
              <w:rPr>
                <w:color w:val="auto"/>
                <w:sz w:val="24"/>
                <w:highlight w:val="none"/>
              </w:rPr>
              <w:t>。施工废水经隔油沉淀后全部回用于施工场地洒水降尘等环节。</w:t>
            </w:r>
          </w:p>
          <w:p>
            <w:pPr>
              <w:spacing w:line="360" w:lineRule="auto"/>
              <w:ind w:firstLine="480" w:firstLineChars="200"/>
              <w:rPr>
                <w:color w:val="auto"/>
                <w:sz w:val="24"/>
                <w:highlight w:val="none"/>
              </w:rPr>
            </w:pPr>
            <w:r>
              <w:rPr>
                <w:rFonts w:hint="eastAsia"/>
                <w:color w:val="auto"/>
                <w:sz w:val="24"/>
                <w:highlight w:val="none"/>
              </w:rPr>
              <w:t>（2）施工人员生活污水</w:t>
            </w:r>
          </w:p>
          <w:p>
            <w:pPr>
              <w:spacing w:line="360" w:lineRule="auto"/>
              <w:ind w:firstLine="480" w:firstLineChars="200"/>
              <w:rPr>
                <w:color w:val="auto"/>
                <w:sz w:val="24"/>
                <w:highlight w:val="none"/>
              </w:rPr>
            </w:pPr>
            <w:r>
              <w:rPr>
                <w:rFonts w:hint="eastAsia"/>
                <w:color w:val="auto"/>
                <w:sz w:val="24"/>
                <w:highlight w:val="none"/>
              </w:rPr>
              <w:t>施工</w:t>
            </w:r>
            <w:r>
              <w:rPr>
                <w:color w:val="auto"/>
                <w:sz w:val="24"/>
                <w:highlight w:val="none"/>
              </w:rPr>
              <w:t>期不同阶段，施工人数不尽相同，施工人员预计最大</w:t>
            </w:r>
            <w:r>
              <w:rPr>
                <w:rFonts w:hint="eastAsia"/>
                <w:color w:val="auto"/>
                <w:sz w:val="24"/>
                <w:highlight w:val="none"/>
              </w:rPr>
              <w:t>10</w:t>
            </w:r>
            <w:r>
              <w:rPr>
                <w:color w:val="auto"/>
                <w:sz w:val="24"/>
                <w:highlight w:val="none"/>
              </w:rPr>
              <w:t>0人/d，用水按100L/人•d计，污水产生系数按0.</w:t>
            </w:r>
            <w:r>
              <w:rPr>
                <w:rFonts w:hint="eastAsia"/>
                <w:color w:val="auto"/>
                <w:sz w:val="24"/>
                <w:highlight w:val="none"/>
              </w:rPr>
              <w:t>8</w:t>
            </w:r>
            <w:r>
              <w:rPr>
                <w:color w:val="auto"/>
                <w:sz w:val="24"/>
                <w:highlight w:val="none"/>
              </w:rPr>
              <w:t>计，将产生生活污水</w:t>
            </w:r>
            <w:r>
              <w:rPr>
                <w:rFonts w:hint="eastAsia"/>
                <w:color w:val="auto"/>
                <w:sz w:val="24"/>
                <w:highlight w:val="none"/>
              </w:rPr>
              <w:t>8</w:t>
            </w:r>
            <w:r>
              <w:rPr>
                <w:color w:val="auto"/>
                <w:sz w:val="24"/>
                <w:highlight w:val="none"/>
              </w:rPr>
              <w:t>m³/d。生活污水污染物以SS、COD为主</w:t>
            </w:r>
            <w:r>
              <w:rPr>
                <w:rFonts w:hint="eastAsia"/>
                <w:color w:val="auto"/>
                <w:sz w:val="24"/>
                <w:highlight w:val="none"/>
              </w:rPr>
              <w:t>，其中SS浓度为</w:t>
            </w:r>
            <w:r>
              <w:rPr>
                <w:color w:val="auto"/>
                <w:sz w:val="24"/>
                <w:highlight w:val="none"/>
              </w:rPr>
              <w:t>100~220mg/L</w:t>
            </w:r>
            <w:r>
              <w:rPr>
                <w:rFonts w:hint="eastAsia"/>
                <w:color w:val="auto"/>
                <w:sz w:val="24"/>
                <w:highlight w:val="none"/>
              </w:rPr>
              <w:t>，COD浓度为</w:t>
            </w:r>
            <w:r>
              <w:rPr>
                <w:color w:val="auto"/>
                <w:sz w:val="24"/>
                <w:highlight w:val="none"/>
              </w:rPr>
              <w:t>250~400mg/L</w:t>
            </w:r>
            <w:r>
              <w:rPr>
                <w:rFonts w:hint="eastAsia"/>
                <w:color w:val="auto"/>
                <w:sz w:val="24"/>
                <w:highlight w:val="none"/>
              </w:rPr>
              <w:t>。本项目</w:t>
            </w:r>
            <w:r>
              <w:rPr>
                <w:color w:val="auto"/>
                <w:sz w:val="24"/>
                <w:highlight w:val="none"/>
              </w:rPr>
              <w:t>施工</w:t>
            </w:r>
            <w:r>
              <w:rPr>
                <w:rFonts w:hint="eastAsia"/>
                <w:color w:val="auto"/>
                <w:sz w:val="24"/>
                <w:highlight w:val="none"/>
              </w:rPr>
              <w:t>场地不设生活营地，施工人员租赁项目周边现有房屋居住，其生活废水利用当地现有污水处理设施处理。</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5.2.4 固体废物</w:t>
            </w:r>
          </w:p>
          <w:p>
            <w:pPr>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建筑垃圾</w:t>
            </w:r>
          </w:p>
          <w:p>
            <w:pPr>
              <w:spacing w:line="360" w:lineRule="auto"/>
              <w:ind w:firstLine="480" w:firstLineChars="200"/>
              <w:rPr>
                <w:color w:val="auto"/>
                <w:sz w:val="24"/>
                <w:highlight w:val="none"/>
              </w:rPr>
            </w:pPr>
            <w:r>
              <w:rPr>
                <w:rFonts w:hint="eastAsia"/>
                <w:color w:val="auto"/>
                <w:sz w:val="24"/>
                <w:highlight w:val="none"/>
              </w:rPr>
              <w:t>根据有关资料，新建建构筑建筑垃圾产生系数为25~30kg/m</w:t>
            </w:r>
            <w:r>
              <w:rPr>
                <w:rFonts w:hint="eastAsia"/>
                <w:color w:val="auto"/>
                <w:sz w:val="24"/>
                <w:highlight w:val="none"/>
                <w:vertAlign w:val="superscript"/>
              </w:rPr>
              <w:t>2</w:t>
            </w:r>
            <w:r>
              <w:rPr>
                <w:rFonts w:hint="eastAsia"/>
                <w:color w:val="auto"/>
                <w:sz w:val="24"/>
                <w:highlight w:val="none"/>
              </w:rPr>
              <w:t>（本环评按25kg/m</w:t>
            </w:r>
            <w:r>
              <w:rPr>
                <w:rFonts w:hint="eastAsia"/>
                <w:color w:val="auto"/>
                <w:sz w:val="24"/>
                <w:highlight w:val="none"/>
                <w:vertAlign w:val="superscript"/>
              </w:rPr>
              <w:t>2</w:t>
            </w:r>
            <w:r>
              <w:rPr>
                <w:rFonts w:hint="eastAsia"/>
                <w:color w:val="auto"/>
                <w:sz w:val="24"/>
                <w:highlight w:val="none"/>
              </w:rPr>
              <w:t>估算），本项目总建筑面积67883.98m</w:t>
            </w:r>
            <w:r>
              <w:rPr>
                <w:rFonts w:hint="eastAsia"/>
                <w:color w:val="auto"/>
                <w:sz w:val="24"/>
                <w:highlight w:val="none"/>
                <w:vertAlign w:val="superscript"/>
              </w:rPr>
              <w:t>2</w:t>
            </w:r>
            <w:r>
              <w:rPr>
                <w:rFonts w:hint="eastAsia"/>
                <w:color w:val="auto"/>
                <w:sz w:val="24"/>
                <w:highlight w:val="none"/>
              </w:rPr>
              <w:t>，则新建建构筑产生的建筑垃圾约1697吨。</w:t>
            </w:r>
          </w:p>
          <w:p>
            <w:pPr>
              <w:spacing w:line="360" w:lineRule="auto"/>
              <w:ind w:firstLine="480" w:firstLineChars="200"/>
              <w:rPr>
                <w:color w:val="auto"/>
                <w:sz w:val="24"/>
                <w:highlight w:val="none"/>
              </w:rPr>
            </w:pPr>
            <w:r>
              <w:rPr>
                <w:rFonts w:hint="eastAsia"/>
                <w:color w:val="auto"/>
                <w:sz w:val="24"/>
                <w:highlight w:val="none"/>
              </w:rPr>
              <w:t>本项目施工期产生的建筑垃圾定点堆放，</w:t>
            </w:r>
            <w:r>
              <w:rPr>
                <w:color w:val="auto"/>
                <w:sz w:val="24"/>
                <w:highlight w:val="none"/>
              </w:rPr>
              <w:t>委托湘潭市渣土办统一处置</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（2）弃方</w:t>
            </w:r>
          </w:p>
          <w:p>
            <w:pPr>
              <w:spacing w:line="360" w:lineRule="auto"/>
              <w:ind w:firstLine="480" w:firstLineChars="200"/>
              <w:rPr>
                <w:color w:val="auto"/>
                <w:sz w:val="24"/>
                <w:highlight w:val="none"/>
              </w:rPr>
            </w:pPr>
            <w:r>
              <w:rPr>
                <w:rFonts w:hint="eastAsia"/>
                <w:color w:val="auto"/>
                <w:sz w:val="24"/>
                <w:highlight w:val="none"/>
              </w:rPr>
              <w:t>根据现场查勘，项目拟建地80%的土地现已平整，剩余20%的土地保持原有城郊风貌，主要为荒废的菜地、水塘等。项目施工时挖方量很少，填方预计量为11800m</w:t>
            </w:r>
            <w:r>
              <w:rPr>
                <w:rFonts w:hint="eastAsia"/>
                <w:color w:val="auto"/>
                <w:sz w:val="24"/>
                <w:highlight w:val="none"/>
                <w:vertAlign w:val="superscript"/>
              </w:rPr>
              <w:t>3</w:t>
            </w:r>
            <w:r>
              <w:rPr>
                <w:rFonts w:hint="eastAsia"/>
                <w:color w:val="auto"/>
                <w:sz w:val="24"/>
                <w:highlight w:val="none"/>
              </w:rPr>
              <w:t>，拟从区域取土场取土。项目土地平整时，项目所需填方由湘潭市渣土办统筹调整调配解决。</w:t>
            </w:r>
          </w:p>
          <w:p>
            <w:pPr>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施工人员生活垃圾</w:t>
            </w:r>
          </w:p>
          <w:p>
            <w:pPr>
              <w:spacing w:line="360" w:lineRule="auto"/>
              <w:ind w:firstLine="480" w:firstLineChars="200"/>
              <w:rPr>
                <w:color w:val="auto"/>
                <w:sz w:val="24"/>
                <w:highlight w:val="none"/>
              </w:rPr>
            </w:pPr>
            <w:r>
              <w:rPr>
                <w:color w:val="auto"/>
                <w:sz w:val="24"/>
                <w:highlight w:val="none"/>
              </w:rPr>
              <w:t>项目施工人员按</w:t>
            </w:r>
            <w:r>
              <w:rPr>
                <w:rFonts w:hint="eastAsia"/>
                <w:color w:val="auto"/>
                <w:sz w:val="24"/>
                <w:highlight w:val="none"/>
              </w:rPr>
              <w:t>10</w:t>
            </w:r>
            <w:r>
              <w:rPr>
                <w:color w:val="auto"/>
                <w:sz w:val="24"/>
                <w:highlight w:val="none"/>
              </w:rPr>
              <w:t>0人计，生活垃圾产生量按0.5kg/人·d计，则</w:t>
            </w:r>
            <w:r>
              <w:rPr>
                <w:rFonts w:hint="eastAsia"/>
                <w:color w:val="auto"/>
                <w:sz w:val="24"/>
                <w:highlight w:val="none"/>
              </w:rPr>
              <w:t>施工期</w:t>
            </w:r>
            <w:r>
              <w:rPr>
                <w:color w:val="auto"/>
                <w:sz w:val="24"/>
                <w:highlight w:val="none"/>
              </w:rPr>
              <w:t>生活垃圾产生量为</w:t>
            </w:r>
            <w:r>
              <w:rPr>
                <w:rFonts w:hint="eastAsia"/>
                <w:color w:val="auto"/>
                <w:sz w:val="24"/>
                <w:highlight w:val="none"/>
              </w:rPr>
              <w:t>50</w:t>
            </w:r>
            <w:r>
              <w:rPr>
                <w:color w:val="auto"/>
                <w:sz w:val="24"/>
                <w:highlight w:val="none"/>
              </w:rPr>
              <w:t>kg/d</w:t>
            </w:r>
            <w:r>
              <w:rPr>
                <w:rFonts w:hint="eastAsia"/>
                <w:color w:val="auto"/>
                <w:sz w:val="24"/>
                <w:highlight w:val="none"/>
              </w:rPr>
              <w:t>，集中收集后与当地生活垃圾一同处置。</w:t>
            </w: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5.3 营运</w:t>
            </w:r>
            <w:r>
              <w:rPr>
                <w:rFonts w:ascii="宋体" w:hAnsi="宋体"/>
                <w:b/>
                <w:bCs/>
                <w:color w:val="auto"/>
                <w:spacing w:val="-8"/>
                <w:sz w:val="28"/>
                <w:szCs w:val="28"/>
                <w:highlight w:val="none"/>
              </w:rPr>
              <w:t>期主要污染</w:t>
            </w:r>
            <w:r>
              <w:rPr>
                <w:rFonts w:hint="eastAsia" w:ascii="宋体" w:hAnsi="宋体"/>
                <w:b/>
                <w:bCs/>
                <w:color w:val="auto"/>
                <w:spacing w:val="-8"/>
                <w:sz w:val="28"/>
                <w:szCs w:val="28"/>
                <w:highlight w:val="none"/>
              </w:rPr>
              <w:t>源</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5.3.1 废气</w:t>
            </w:r>
          </w:p>
          <w:p>
            <w:pPr>
              <w:spacing w:line="360" w:lineRule="auto"/>
              <w:ind w:firstLine="480" w:firstLineChars="200"/>
              <w:rPr>
                <w:color w:val="auto"/>
                <w:sz w:val="24"/>
                <w:highlight w:val="none"/>
              </w:rPr>
            </w:pPr>
            <w:r>
              <w:rPr>
                <w:rFonts w:hint="eastAsia"/>
                <w:color w:val="auto"/>
                <w:sz w:val="24"/>
                <w:highlight w:val="none"/>
              </w:rPr>
              <w:t>根据5.1节内容可知，项目废气主要包括热处理废气、清洗废气、注塑废气以及厨房油烟废气。</w:t>
            </w:r>
          </w:p>
          <w:p>
            <w:pPr>
              <w:spacing w:line="360" w:lineRule="auto"/>
              <w:ind w:firstLine="480" w:firstLineChars="200"/>
              <w:rPr>
                <w:color w:val="auto"/>
                <w:sz w:val="24"/>
                <w:highlight w:val="none"/>
              </w:rPr>
            </w:pPr>
            <w:r>
              <w:rPr>
                <w:rFonts w:hint="eastAsia"/>
                <w:color w:val="auto"/>
                <w:sz w:val="24"/>
                <w:highlight w:val="none"/>
              </w:rPr>
              <w:t>（1）热处理废气</w:t>
            </w:r>
          </w:p>
          <w:p>
            <w:pPr>
              <w:spacing w:line="360" w:lineRule="auto"/>
              <w:ind w:firstLine="480" w:firstLineChars="200"/>
              <w:rPr>
                <w:color w:val="auto"/>
                <w:sz w:val="24"/>
                <w:highlight w:val="none"/>
              </w:rPr>
            </w:pPr>
            <w:r>
              <w:rPr>
                <w:rFonts w:hint="eastAsia"/>
                <w:color w:val="auto"/>
                <w:sz w:val="24"/>
                <w:highlight w:val="none"/>
              </w:rPr>
              <w:t>根据本报告5.1.2内容可知，本项目滚子摇臂、可变滚子摇臂、张紧器热处理废气经15m排气筒（2#）排放，轮毂轴承热处理废气经15m排气筒（3#）排放。排放的热处理废气中主要污染物为非甲烷总烃、氮氧化物。</w:t>
            </w:r>
          </w:p>
          <w:p>
            <w:pPr>
              <w:spacing w:line="360" w:lineRule="auto"/>
              <w:ind w:firstLine="480" w:firstLineChars="200"/>
              <w:rPr>
                <w:color w:val="auto"/>
                <w:sz w:val="24"/>
                <w:highlight w:val="none"/>
              </w:rPr>
            </w:pPr>
            <w:r>
              <w:rPr>
                <w:rFonts w:hint="eastAsia"/>
                <w:color w:val="auto"/>
                <w:sz w:val="24"/>
                <w:highlight w:val="none"/>
              </w:rPr>
              <w:t>为了解项目热处理废气中污染物排放情况，本报告类比同类工程舍弗勒（中国）有限公司太仓一厂、二厂、三厂热处理废气污染物浓度。表5-5为同类工程情况简介。</w:t>
            </w:r>
          </w:p>
          <w:p>
            <w:pPr>
              <w:snapToGrid w:val="0"/>
              <w:spacing w:line="360" w:lineRule="auto"/>
              <w:jc w:val="center"/>
              <w:rPr>
                <w:b/>
                <w:color w:val="auto"/>
                <w:sz w:val="24"/>
                <w:highlight w:val="none"/>
              </w:rPr>
            </w:pPr>
            <w:r>
              <w:rPr>
                <w:rFonts w:hint="eastAsia"/>
                <w:b/>
                <w:color w:val="auto"/>
                <w:sz w:val="24"/>
                <w:highlight w:val="none"/>
              </w:rPr>
              <w:t>表5-5  同类工程生产情况一览表</w:t>
            </w:r>
          </w:p>
          <w:tbl>
            <w:tblPr>
              <w:tblStyle w:val="29"/>
              <w:tblW w:w="933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996"/>
              <w:gridCol w:w="1751"/>
              <w:gridCol w:w="2130"/>
              <w:gridCol w:w="20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6" w:type="dxa"/>
                  <w:vAlign w:val="center"/>
                </w:tcPr>
                <w:p>
                  <w:pPr>
                    <w:jc w:val="center"/>
                    <w:rPr>
                      <w:color w:val="auto"/>
                      <w:szCs w:val="21"/>
                      <w:highlight w:val="none"/>
                    </w:rPr>
                  </w:pPr>
                  <w:r>
                    <w:rPr>
                      <w:rFonts w:hint="eastAsia"/>
                      <w:color w:val="auto"/>
                      <w:szCs w:val="21"/>
                      <w:highlight w:val="none"/>
                    </w:rPr>
                    <w:t>名称</w:t>
                  </w:r>
                </w:p>
              </w:tc>
              <w:tc>
                <w:tcPr>
                  <w:tcW w:w="1996" w:type="dxa"/>
                  <w:vAlign w:val="center"/>
                </w:tcPr>
                <w:p>
                  <w:pPr>
                    <w:jc w:val="center"/>
                    <w:rPr>
                      <w:color w:val="auto"/>
                      <w:szCs w:val="21"/>
                      <w:highlight w:val="none"/>
                    </w:rPr>
                  </w:pPr>
                  <w:r>
                    <w:rPr>
                      <w:rFonts w:hint="eastAsia"/>
                      <w:color w:val="auto"/>
                      <w:szCs w:val="21"/>
                      <w:highlight w:val="none"/>
                    </w:rPr>
                    <w:t>主要产品</w:t>
                  </w:r>
                </w:p>
              </w:tc>
              <w:tc>
                <w:tcPr>
                  <w:tcW w:w="1751" w:type="dxa"/>
                  <w:vAlign w:val="center"/>
                </w:tcPr>
                <w:p>
                  <w:pPr>
                    <w:jc w:val="center"/>
                    <w:rPr>
                      <w:color w:val="auto"/>
                      <w:szCs w:val="21"/>
                      <w:highlight w:val="none"/>
                    </w:rPr>
                  </w:pPr>
                  <w:r>
                    <w:rPr>
                      <w:rFonts w:hint="eastAsia"/>
                      <w:color w:val="auto"/>
                      <w:szCs w:val="21"/>
                      <w:highlight w:val="none"/>
                    </w:rPr>
                    <w:t>主要生产工艺</w:t>
                  </w:r>
                </w:p>
              </w:tc>
              <w:tc>
                <w:tcPr>
                  <w:tcW w:w="2130" w:type="dxa"/>
                  <w:vAlign w:val="center"/>
                </w:tcPr>
                <w:p>
                  <w:pPr>
                    <w:jc w:val="center"/>
                    <w:rPr>
                      <w:color w:val="auto"/>
                      <w:szCs w:val="21"/>
                      <w:highlight w:val="none"/>
                    </w:rPr>
                  </w:pPr>
                  <w:r>
                    <w:rPr>
                      <w:rFonts w:hint="eastAsia"/>
                      <w:color w:val="auto"/>
                      <w:szCs w:val="21"/>
                      <w:highlight w:val="none"/>
                    </w:rPr>
                    <w:t>废气处理设施</w:t>
                  </w:r>
                </w:p>
              </w:tc>
              <w:tc>
                <w:tcPr>
                  <w:tcW w:w="2011" w:type="dxa"/>
                  <w:vAlign w:val="center"/>
                </w:tcPr>
                <w:p>
                  <w:pPr>
                    <w:jc w:val="center"/>
                    <w:rPr>
                      <w:color w:val="auto"/>
                      <w:szCs w:val="21"/>
                      <w:highlight w:val="none"/>
                    </w:rPr>
                  </w:pPr>
                  <w:r>
                    <w:rPr>
                      <w:rFonts w:hint="eastAsia"/>
                      <w:color w:val="auto"/>
                      <w:szCs w:val="21"/>
                      <w:highlight w:val="none"/>
                    </w:rPr>
                    <w:t>工作制度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6" w:type="dxa"/>
                  <w:vAlign w:val="center"/>
                </w:tcPr>
                <w:p>
                  <w:pPr>
                    <w:jc w:val="center"/>
                    <w:rPr>
                      <w:color w:val="auto"/>
                      <w:szCs w:val="21"/>
                      <w:highlight w:val="none"/>
                    </w:rPr>
                  </w:pPr>
                  <w:r>
                    <w:rPr>
                      <w:rFonts w:hint="eastAsia"/>
                      <w:color w:val="auto"/>
                      <w:szCs w:val="21"/>
                      <w:highlight w:val="none"/>
                    </w:rPr>
                    <w:t>太仓一厂</w:t>
                  </w:r>
                </w:p>
              </w:tc>
              <w:tc>
                <w:tcPr>
                  <w:tcW w:w="1996" w:type="dxa"/>
                  <w:vMerge w:val="restart"/>
                  <w:vAlign w:val="center"/>
                </w:tcPr>
                <w:p>
                  <w:pPr>
                    <w:jc w:val="left"/>
                    <w:rPr>
                      <w:color w:val="auto"/>
                      <w:szCs w:val="21"/>
                      <w:highlight w:val="none"/>
                    </w:rPr>
                  </w:pPr>
                  <w:r>
                    <w:rPr>
                      <w:rFonts w:hint="eastAsia"/>
                      <w:color w:val="auto"/>
                      <w:szCs w:val="21"/>
                      <w:highlight w:val="none"/>
                    </w:rPr>
                    <w:t>滚子摇臂、可变滚子摇臂、轮毂轴承、张紧器</w:t>
                  </w:r>
                </w:p>
              </w:tc>
              <w:tc>
                <w:tcPr>
                  <w:tcW w:w="1751" w:type="dxa"/>
                  <w:vMerge w:val="restart"/>
                  <w:vAlign w:val="center"/>
                </w:tcPr>
                <w:p>
                  <w:pPr>
                    <w:jc w:val="center"/>
                    <w:rPr>
                      <w:color w:val="auto"/>
                      <w:szCs w:val="21"/>
                      <w:highlight w:val="none"/>
                    </w:rPr>
                  </w:pPr>
                  <w:r>
                    <w:rPr>
                      <w:rFonts w:hint="eastAsia"/>
                      <w:color w:val="auto"/>
                      <w:szCs w:val="21"/>
                      <w:highlight w:val="none"/>
                    </w:rPr>
                    <w:t>热处理以液氮甲醇为保护气，丙烷为碳源、氨气为氮源进行气体碳氮共渗；共渗后进行淬火处理</w:t>
                  </w:r>
                </w:p>
              </w:tc>
              <w:tc>
                <w:tcPr>
                  <w:tcW w:w="2130" w:type="dxa"/>
                  <w:vMerge w:val="restart"/>
                  <w:vAlign w:val="center"/>
                </w:tcPr>
                <w:p>
                  <w:pPr>
                    <w:jc w:val="center"/>
                    <w:rPr>
                      <w:color w:val="auto"/>
                      <w:szCs w:val="21"/>
                      <w:highlight w:val="none"/>
                    </w:rPr>
                  </w:pPr>
                  <w:r>
                    <w:rPr>
                      <w:rFonts w:hint="eastAsia"/>
                      <w:color w:val="auto"/>
                      <w:szCs w:val="21"/>
                      <w:highlight w:val="none"/>
                    </w:rPr>
                    <w:t>高温加热炉废气经烧嘴燃烧、淬火废气经油雾净化器处理后共用15m排气筒排出</w:t>
                  </w:r>
                </w:p>
              </w:tc>
              <w:tc>
                <w:tcPr>
                  <w:tcW w:w="2011" w:type="dxa"/>
                  <w:vMerge w:val="restart"/>
                  <w:vAlign w:val="center"/>
                </w:tcPr>
                <w:p>
                  <w:pPr>
                    <w:jc w:val="left"/>
                    <w:rPr>
                      <w:color w:val="auto"/>
                      <w:szCs w:val="21"/>
                      <w:highlight w:val="none"/>
                    </w:rPr>
                  </w:pPr>
                  <w:r>
                    <w:rPr>
                      <w:rFonts w:hint="eastAsia"/>
                      <w:color w:val="auto"/>
                      <w:szCs w:val="21"/>
                      <w:highlight w:val="none"/>
                    </w:rPr>
                    <w:t>年工作300天，每天3班，每班工作8小时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6" w:type="dxa"/>
                  <w:vAlign w:val="center"/>
                </w:tcPr>
                <w:p>
                  <w:pPr>
                    <w:jc w:val="center"/>
                    <w:rPr>
                      <w:color w:val="auto"/>
                      <w:szCs w:val="21"/>
                      <w:highlight w:val="none"/>
                    </w:rPr>
                  </w:pPr>
                  <w:r>
                    <w:rPr>
                      <w:rFonts w:hint="eastAsia"/>
                      <w:color w:val="auto"/>
                      <w:szCs w:val="21"/>
                      <w:highlight w:val="none"/>
                    </w:rPr>
                    <w:t>太仓二厂</w:t>
                  </w:r>
                </w:p>
              </w:tc>
              <w:tc>
                <w:tcPr>
                  <w:tcW w:w="1996" w:type="dxa"/>
                  <w:vMerge w:val="continue"/>
                  <w:vAlign w:val="center"/>
                </w:tcPr>
                <w:p>
                  <w:pPr>
                    <w:jc w:val="left"/>
                    <w:rPr>
                      <w:color w:val="auto"/>
                      <w:szCs w:val="21"/>
                      <w:highlight w:val="none"/>
                    </w:rPr>
                  </w:pPr>
                </w:p>
              </w:tc>
              <w:tc>
                <w:tcPr>
                  <w:tcW w:w="1751" w:type="dxa"/>
                  <w:vMerge w:val="continue"/>
                  <w:vAlign w:val="center"/>
                </w:tcPr>
                <w:p>
                  <w:pPr>
                    <w:jc w:val="center"/>
                    <w:rPr>
                      <w:color w:val="auto"/>
                      <w:szCs w:val="21"/>
                      <w:highlight w:val="none"/>
                    </w:rPr>
                  </w:pPr>
                </w:p>
              </w:tc>
              <w:tc>
                <w:tcPr>
                  <w:tcW w:w="2130" w:type="dxa"/>
                  <w:vMerge w:val="continue"/>
                  <w:vAlign w:val="center"/>
                </w:tcPr>
                <w:p>
                  <w:pPr>
                    <w:jc w:val="center"/>
                    <w:rPr>
                      <w:color w:val="auto"/>
                      <w:szCs w:val="21"/>
                      <w:highlight w:val="none"/>
                    </w:rPr>
                  </w:pPr>
                </w:p>
              </w:tc>
              <w:tc>
                <w:tcPr>
                  <w:tcW w:w="2011" w:type="dxa"/>
                  <w:vMerge w:val="continue"/>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6" w:type="dxa"/>
                  <w:vAlign w:val="center"/>
                </w:tcPr>
                <w:p>
                  <w:pPr>
                    <w:jc w:val="center"/>
                    <w:rPr>
                      <w:color w:val="auto"/>
                      <w:szCs w:val="21"/>
                      <w:highlight w:val="none"/>
                    </w:rPr>
                  </w:pPr>
                  <w:r>
                    <w:rPr>
                      <w:rFonts w:hint="eastAsia"/>
                      <w:color w:val="auto"/>
                      <w:szCs w:val="21"/>
                      <w:highlight w:val="none"/>
                    </w:rPr>
                    <w:t>太仓三厂</w:t>
                  </w:r>
                </w:p>
              </w:tc>
              <w:tc>
                <w:tcPr>
                  <w:tcW w:w="1996" w:type="dxa"/>
                  <w:vMerge w:val="continue"/>
                  <w:vAlign w:val="center"/>
                </w:tcPr>
                <w:p>
                  <w:pPr>
                    <w:jc w:val="left"/>
                    <w:rPr>
                      <w:color w:val="auto"/>
                      <w:szCs w:val="21"/>
                      <w:highlight w:val="none"/>
                    </w:rPr>
                  </w:pPr>
                </w:p>
              </w:tc>
              <w:tc>
                <w:tcPr>
                  <w:tcW w:w="1751" w:type="dxa"/>
                  <w:vMerge w:val="continue"/>
                  <w:vAlign w:val="center"/>
                </w:tcPr>
                <w:p>
                  <w:pPr>
                    <w:jc w:val="center"/>
                    <w:rPr>
                      <w:color w:val="auto"/>
                      <w:szCs w:val="21"/>
                      <w:highlight w:val="none"/>
                    </w:rPr>
                  </w:pPr>
                </w:p>
              </w:tc>
              <w:tc>
                <w:tcPr>
                  <w:tcW w:w="2130" w:type="dxa"/>
                  <w:vMerge w:val="continue"/>
                  <w:vAlign w:val="center"/>
                </w:tcPr>
                <w:p>
                  <w:pPr>
                    <w:jc w:val="center"/>
                    <w:rPr>
                      <w:color w:val="auto"/>
                      <w:szCs w:val="21"/>
                      <w:highlight w:val="none"/>
                    </w:rPr>
                  </w:pPr>
                </w:p>
              </w:tc>
              <w:tc>
                <w:tcPr>
                  <w:tcW w:w="2011" w:type="dxa"/>
                  <w:vMerge w:val="continue"/>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46" w:type="dxa"/>
                  <w:vAlign w:val="center"/>
                </w:tcPr>
                <w:p>
                  <w:pPr>
                    <w:jc w:val="center"/>
                    <w:rPr>
                      <w:color w:val="auto"/>
                      <w:szCs w:val="21"/>
                      <w:highlight w:val="none"/>
                    </w:rPr>
                  </w:pPr>
                  <w:r>
                    <w:rPr>
                      <w:rFonts w:hint="eastAsia"/>
                      <w:color w:val="auto"/>
                      <w:szCs w:val="21"/>
                      <w:highlight w:val="none"/>
                    </w:rPr>
                    <w:t>本项目</w:t>
                  </w:r>
                </w:p>
              </w:tc>
              <w:tc>
                <w:tcPr>
                  <w:tcW w:w="1996" w:type="dxa"/>
                  <w:vAlign w:val="center"/>
                </w:tcPr>
                <w:p>
                  <w:pPr>
                    <w:jc w:val="left"/>
                    <w:rPr>
                      <w:color w:val="auto"/>
                      <w:szCs w:val="21"/>
                      <w:highlight w:val="none"/>
                    </w:rPr>
                  </w:pPr>
                  <w:r>
                    <w:rPr>
                      <w:rFonts w:hint="eastAsia"/>
                      <w:color w:val="auto"/>
                      <w:szCs w:val="21"/>
                      <w:highlight w:val="none"/>
                    </w:rPr>
                    <w:t>滚子摇臂、可变滚子摇臂、轮毂轴承、张紧器</w:t>
                  </w:r>
                </w:p>
              </w:tc>
              <w:tc>
                <w:tcPr>
                  <w:tcW w:w="1751" w:type="dxa"/>
                  <w:vAlign w:val="center"/>
                </w:tcPr>
                <w:p>
                  <w:pPr>
                    <w:jc w:val="center"/>
                    <w:rPr>
                      <w:color w:val="auto"/>
                      <w:szCs w:val="21"/>
                      <w:highlight w:val="none"/>
                    </w:rPr>
                  </w:pPr>
                  <w:r>
                    <w:rPr>
                      <w:rFonts w:hint="eastAsia"/>
                      <w:color w:val="auto"/>
                      <w:szCs w:val="21"/>
                      <w:highlight w:val="none"/>
                    </w:rPr>
                    <w:t>与太仓工厂一致</w:t>
                  </w:r>
                </w:p>
              </w:tc>
              <w:tc>
                <w:tcPr>
                  <w:tcW w:w="2130" w:type="dxa"/>
                  <w:vAlign w:val="center"/>
                </w:tcPr>
                <w:p>
                  <w:pPr>
                    <w:jc w:val="center"/>
                    <w:rPr>
                      <w:color w:val="auto"/>
                      <w:szCs w:val="21"/>
                      <w:highlight w:val="none"/>
                    </w:rPr>
                  </w:pPr>
                  <w:r>
                    <w:rPr>
                      <w:rFonts w:hint="eastAsia"/>
                      <w:color w:val="auto"/>
                      <w:szCs w:val="21"/>
                      <w:highlight w:val="none"/>
                    </w:rPr>
                    <w:t>与太仓工厂一致</w:t>
                  </w:r>
                </w:p>
              </w:tc>
              <w:tc>
                <w:tcPr>
                  <w:tcW w:w="2011" w:type="dxa"/>
                  <w:vAlign w:val="center"/>
                </w:tcPr>
                <w:p>
                  <w:pPr>
                    <w:jc w:val="center"/>
                    <w:rPr>
                      <w:color w:val="auto"/>
                      <w:szCs w:val="21"/>
                      <w:highlight w:val="none"/>
                    </w:rPr>
                  </w:pPr>
                  <w:r>
                    <w:rPr>
                      <w:rFonts w:hint="eastAsia"/>
                      <w:color w:val="auto"/>
                      <w:szCs w:val="21"/>
                      <w:highlight w:val="none"/>
                    </w:rPr>
                    <w:t>与太仓工厂一致</w:t>
                  </w:r>
                </w:p>
              </w:tc>
            </w:tr>
          </w:tbl>
          <w:p>
            <w:pPr>
              <w:spacing w:line="360" w:lineRule="auto"/>
              <w:ind w:firstLine="480" w:firstLineChars="200"/>
              <w:rPr>
                <w:color w:val="auto"/>
                <w:sz w:val="24"/>
                <w:highlight w:val="none"/>
              </w:rPr>
            </w:pPr>
            <w:r>
              <w:rPr>
                <w:rFonts w:hint="eastAsia"/>
                <w:color w:val="auto"/>
                <w:sz w:val="24"/>
                <w:highlight w:val="none"/>
              </w:rPr>
              <w:t>2016年1月27日-28日，舍弗勒（中国）有限公司委托江苏国泰环境监测有限公司对太仓一厂~三厂热处理排放的废气进行了监测（监测报告见附件），监测情况见下表5-6：</w:t>
            </w:r>
          </w:p>
          <w:p>
            <w:pPr>
              <w:snapToGrid w:val="0"/>
              <w:spacing w:line="360" w:lineRule="auto"/>
              <w:jc w:val="center"/>
              <w:rPr>
                <w:b/>
                <w:color w:val="auto"/>
                <w:sz w:val="24"/>
                <w:highlight w:val="none"/>
              </w:rPr>
            </w:pPr>
            <w:r>
              <w:rPr>
                <w:rFonts w:hint="eastAsia"/>
                <w:b/>
                <w:color w:val="auto"/>
                <w:sz w:val="24"/>
                <w:highlight w:val="none"/>
              </w:rPr>
              <w:t>表5-6  太仓一厂、二厂、三厂热处理废气排放情况一览表</w:t>
            </w:r>
          </w:p>
          <w:tbl>
            <w:tblPr>
              <w:tblStyle w:val="29"/>
              <w:tblW w:w="933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299"/>
              <w:gridCol w:w="1557"/>
              <w:gridCol w:w="2590"/>
              <w:gridCol w:w="25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97" w:type="dxa"/>
                  <w:gridSpan w:val="2"/>
                  <w:vAlign w:val="center"/>
                </w:tcPr>
                <w:p>
                  <w:pPr>
                    <w:jc w:val="center"/>
                    <w:rPr>
                      <w:color w:val="auto"/>
                      <w:szCs w:val="21"/>
                      <w:highlight w:val="none"/>
                    </w:rPr>
                  </w:pPr>
                  <w:r>
                    <w:rPr>
                      <w:rFonts w:hint="eastAsia"/>
                      <w:color w:val="auto"/>
                      <w:szCs w:val="21"/>
                      <w:highlight w:val="none"/>
                    </w:rPr>
                    <w:t>同类工程</w:t>
                  </w:r>
                </w:p>
              </w:tc>
              <w:tc>
                <w:tcPr>
                  <w:tcW w:w="6737" w:type="dxa"/>
                  <w:gridSpan w:val="3"/>
                  <w:vAlign w:val="center"/>
                </w:tcPr>
                <w:p>
                  <w:pPr>
                    <w:jc w:val="center"/>
                    <w:rPr>
                      <w:color w:val="auto"/>
                      <w:szCs w:val="21"/>
                      <w:highlight w:val="none"/>
                    </w:rPr>
                  </w:pPr>
                  <w:r>
                    <w:rPr>
                      <w:rFonts w:hint="eastAsia"/>
                      <w:color w:val="auto"/>
                      <w:szCs w:val="21"/>
                      <w:highlight w:val="none"/>
                    </w:rPr>
                    <w:t>污染物数据来源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8" w:type="dxa"/>
                  <w:vAlign w:val="center"/>
                </w:tcPr>
                <w:p>
                  <w:pPr>
                    <w:jc w:val="center"/>
                    <w:rPr>
                      <w:color w:val="auto"/>
                      <w:szCs w:val="21"/>
                      <w:highlight w:val="none"/>
                    </w:rPr>
                  </w:pPr>
                  <w:r>
                    <w:rPr>
                      <w:rFonts w:hint="eastAsia"/>
                      <w:color w:val="auto"/>
                      <w:szCs w:val="21"/>
                      <w:highlight w:val="none"/>
                    </w:rPr>
                    <w:t>项目名称</w:t>
                  </w:r>
                </w:p>
              </w:tc>
              <w:tc>
                <w:tcPr>
                  <w:tcW w:w="1299" w:type="dxa"/>
                  <w:vAlign w:val="center"/>
                </w:tcPr>
                <w:p>
                  <w:pPr>
                    <w:jc w:val="center"/>
                    <w:rPr>
                      <w:color w:val="auto"/>
                      <w:szCs w:val="21"/>
                      <w:highlight w:val="none"/>
                    </w:rPr>
                  </w:pPr>
                  <w:r>
                    <w:rPr>
                      <w:rFonts w:hint="eastAsia"/>
                      <w:color w:val="auto"/>
                      <w:szCs w:val="21"/>
                      <w:highlight w:val="none"/>
                    </w:rPr>
                    <w:t>监测期间</w:t>
                  </w:r>
                </w:p>
                <w:p>
                  <w:pPr>
                    <w:jc w:val="center"/>
                    <w:rPr>
                      <w:color w:val="auto"/>
                      <w:szCs w:val="21"/>
                      <w:highlight w:val="none"/>
                    </w:rPr>
                  </w:pPr>
                  <w:r>
                    <w:rPr>
                      <w:rFonts w:hint="eastAsia"/>
                      <w:color w:val="auto"/>
                      <w:szCs w:val="21"/>
                      <w:highlight w:val="none"/>
                    </w:rPr>
                    <w:t>生产负荷</w:t>
                  </w:r>
                </w:p>
              </w:tc>
              <w:tc>
                <w:tcPr>
                  <w:tcW w:w="1557" w:type="dxa"/>
                  <w:vAlign w:val="center"/>
                </w:tcPr>
                <w:p>
                  <w:pPr>
                    <w:jc w:val="center"/>
                    <w:rPr>
                      <w:color w:val="auto"/>
                      <w:szCs w:val="21"/>
                      <w:highlight w:val="none"/>
                    </w:rPr>
                  </w:pPr>
                  <w:r>
                    <w:rPr>
                      <w:rFonts w:hint="eastAsia"/>
                      <w:color w:val="auto"/>
                      <w:szCs w:val="21"/>
                      <w:highlight w:val="none"/>
                    </w:rPr>
                    <w:t>污染物名称</w:t>
                  </w:r>
                </w:p>
              </w:tc>
              <w:tc>
                <w:tcPr>
                  <w:tcW w:w="2590" w:type="dxa"/>
                  <w:vAlign w:val="center"/>
                </w:tcPr>
                <w:p>
                  <w:pPr>
                    <w:jc w:val="center"/>
                    <w:rPr>
                      <w:color w:val="auto"/>
                      <w:szCs w:val="21"/>
                      <w:highlight w:val="none"/>
                    </w:rPr>
                  </w:pPr>
                  <w:r>
                    <w:rPr>
                      <w:rFonts w:hint="eastAsia"/>
                      <w:color w:val="auto"/>
                      <w:szCs w:val="21"/>
                      <w:highlight w:val="none"/>
                    </w:rPr>
                    <w:t>污染物平均排放浓度</w:t>
                  </w:r>
                </w:p>
              </w:tc>
              <w:tc>
                <w:tcPr>
                  <w:tcW w:w="2590" w:type="dxa"/>
                  <w:vAlign w:val="center"/>
                </w:tcPr>
                <w:p>
                  <w:pPr>
                    <w:jc w:val="center"/>
                    <w:rPr>
                      <w:color w:val="auto"/>
                      <w:szCs w:val="21"/>
                      <w:highlight w:val="none"/>
                    </w:rPr>
                  </w:pPr>
                  <w:r>
                    <w:rPr>
                      <w:rFonts w:hint="eastAsia"/>
                      <w:color w:val="auto"/>
                      <w:szCs w:val="21"/>
                      <w:highlight w:val="none"/>
                    </w:rPr>
                    <w:t>污染物平均排放速率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8" w:type="dxa"/>
                  <w:vMerge w:val="restart"/>
                  <w:vAlign w:val="center"/>
                </w:tcPr>
                <w:p>
                  <w:pPr>
                    <w:jc w:val="center"/>
                    <w:rPr>
                      <w:color w:val="auto"/>
                      <w:szCs w:val="21"/>
                      <w:highlight w:val="none"/>
                    </w:rPr>
                  </w:pPr>
                  <w:r>
                    <w:rPr>
                      <w:rFonts w:hint="eastAsia"/>
                      <w:color w:val="auto"/>
                      <w:szCs w:val="21"/>
                      <w:highlight w:val="none"/>
                    </w:rPr>
                    <w:t>太仓一厂</w:t>
                  </w:r>
                </w:p>
              </w:tc>
              <w:tc>
                <w:tcPr>
                  <w:tcW w:w="1299" w:type="dxa"/>
                  <w:vMerge w:val="restart"/>
                  <w:vAlign w:val="center"/>
                </w:tcPr>
                <w:p>
                  <w:pPr>
                    <w:jc w:val="center"/>
                    <w:rPr>
                      <w:color w:val="auto"/>
                      <w:szCs w:val="21"/>
                      <w:highlight w:val="none"/>
                    </w:rPr>
                  </w:pPr>
                  <w:r>
                    <w:rPr>
                      <w:rFonts w:hint="eastAsia"/>
                      <w:color w:val="auto"/>
                      <w:szCs w:val="21"/>
                      <w:highlight w:val="none"/>
                    </w:rPr>
                    <w:t>90%</w:t>
                  </w:r>
                </w:p>
              </w:tc>
              <w:tc>
                <w:tcPr>
                  <w:tcW w:w="1557" w:type="dxa"/>
                  <w:vAlign w:val="center"/>
                </w:tcPr>
                <w:p>
                  <w:pPr>
                    <w:jc w:val="center"/>
                    <w:rPr>
                      <w:color w:val="auto"/>
                      <w:szCs w:val="21"/>
                      <w:highlight w:val="none"/>
                    </w:rPr>
                  </w:pPr>
                  <w:r>
                    <w:rPr>
                      <w:rFonts w:hint="eastAsia"/>
                      <w:color w:val="auto"/>
                      <w:szCs w:val="21"/>
                      <w:highlight w:val="none"/>
                    </w:rPr>
                    <w:t>非甲烷总烃</w:t>
                  </w:r>
                </w:p>
              </w:tc>
              <w:tc>
                <w:tcPr>
                  <w:tcW w:w="2590" w:type="dxa"/>
                  <w:vAlign w:val="center"/>
                </w:tcPr>
                <w:p>
                  <w:pPr>
                    <w:jc w:val="center"/>
                    <w:rPr>
                      <w:color w:val="auto"/>
                      <w:szCs w:val="21"/>
                      <w:highlight w:val="none"/>
                    </w:rPr>
                  </w:pPr>
                  <w:r>
                    <w:rPr>
                      <w:rFonts w:hint="eastAsia"/>
                      <w:color w:val="auto"/>
                      <w:szCs w:val="21"/>
                      <w:highlight w:val="none"/>
                    </w:rPr>
                    <w:t>3.65mg/m</w:t>
                  </w:r>
                  <w:r>
                    <w:rPr>
                      <w:rFonts w:hint="eastAsia"/>
                      <w:color w:val="auto"/>
                      <w:szCs w:val="21"/>
                      <w:highlight w:val="none"/>
                      <w:vertAlign w:val="superscript"/>
                    </w:rPr>
                    <w:t>3</w:t>
                  </w:r>
                </w:p>
              </w:tc>
              <w:tc>
                <w:tcPr>
                  <w:tcW w:w="2590" w:type="dxa"/>
                  <w:vAlign w:val="center"/>
                </w:tcPr>
                <w:p>
                  <w:pPr>
                    <w:jc w:val="center"/>
                    <w:rPr>
                      <w:color w:val="auto"/>
                      <w:szCs w:val="21"/>
                      <w:highlight w:val="none"/>
                    </w:rPr>
                  </w:pPr>
                  <w:r>
                    <w:rPr>
                      <w:rFonts w:hint="eastAsia"/>
                      <w:color w:val="auto"/>
                      <w:szCs w:val="21"/>
                      <w:highlight w:val="none"/>
                    </w:rPr>
                    <w:t>0.015kg/h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8" w:type="dxa"/>
                  <w:vMerge w:val="continue"/>
                  <w:vAlign w:val="center"/>
                </w:tcPr>
                <w:p>
                  <w:pPr>
                    <w:jc w:val="center"/>
                    <w:rPr>
                      <w:color w:val="auto"/>
                      <w:szCs w:val="21"/>
                      <w:highlight w:val="none"/>
                    </w:rPr>
                  </w:pPr>
                </w:p>
              </w:tc>
              <w:tc>
                <w:tcPr>
                  <w:tcW w:w="1299" w:type="dxa"/>
                  <w:vMerge w:val="continue"/>
                  <w:vAlign w:val="center"/>
                </w:tcPr>
                <w:p>
                  <w:pPr>
                    <w:jc w:val="center"/>
                    <w:rPr>
                      <w:color w:val="auto"/>
                      <w:szCs w:val="21"/>
                      <w:highlight w:val="none"/>
                    </w:rPr>
                  </w:pPr>
                </w:p>
              </w:tc>
              <w:tc>
                <w:tcPr>
                  <w:tcW w:w="1557" w:type="dxa"/>
                  <w:vAlign w:val="center"/>
                </w:tcPr>
                <w:p>
                  <w:pPr>
                    <w:jc w:val="center"/>
                    <w:rPr>
                      <w:color w:val="auto"/>
                      <w:szCs w:val="21"/>
                      <w:highlight w:val="none"/>
                    </w:rPr>
                  </w:pPr>
                  <w:r>
                    <w:rPr>
                      <w:rFonts w:hint="eastAsia"/>
                      <w:color w:val="auto"/>
                      <w:szCs w:val="21"/>
                      <w:highlight w:val="none"/>
                    </w:rPr>
                    <w:t>氮氧化物</w:t>
                  </w:r>
                </w:p>
              </w:tc>
              <w:tc>
                <w:tcPr>
                  <w:tcW w:w="2590" w:type="dxa"/>
                  <w:vAlign w:val="center"/>
                </w:tcPr>
                <w:p>
                  <w:pPr>
                    <w:jc w:val="center"/>
                    <w:rPr>
                      <w:color w:val="auto"/>
                      <w:szCs w:val="21"/>
                      <w:highlight w:val="none"/>
                    </w:rPr>
                  </w:pPr>
                  <w:r>
                    <w:rPr>
                      <w:rFonts w:hint="eastAsia"/>
                      <w:color w:val="auto"/>
                      <w:szCs w:val="21"/>
                      <w:highlight w:val="none"/>
                    </w:rPr>
                    <w:t>32.2mg/m</w:t>
                  </w:r>
                  <w:r>
                    <w:rPr>
                      <w:rFonts w:hint="eastAsia"/>
                      <w:color w:val="auto"/>
                      <w:szCs w:val="21"/>
                      <w:highlight w:val="none"/>
                      <w:vertAlign w:val="superscript"/>
                    </w:rPr>
                    <w:t>3</w:t>
                  </w:r>
                </w:p>
              </w:tc>
              <w:tc>
                <w:tcPr>
                  <w:tcW w:w="2590" w:type="dxa"/>
                  <w:vAlign w:val="center"/>
                </w:tcPr>
                <w:p>
                  <w:pPr>
                    <w:jc w:val="center"/>
                    <w:rPr>
                      <w:color w:val="auto"/>
                      <w:szCs w:val="21"/>
                      <w:highlight w:val="none"/>
                    </w:rPr>
                  </w:pPr>
                  <w:r>
                    <w:rPr>
                      <w:rFonts w:hint="eastAsia"/>
                      <w:color w:val="auto"/>
                      <w:szCs w:val="21"/>
                      <w:highlight w:val="none"/>
                    </w:rPr>
                    <w:t>0.136kg/h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8" w:type="dxa"/>
                  <w:vMerge w:val="restart"/>
                  <w:vAlign w:val="center"/>
                </w:tcPr>
                <w:p>
                  <w:pPr>
                    <w:jc w:val="center"/>
                    <w:rPr>
                      <w:color w:val="auto"/>
                      <w:szCs w:val="21"/>
                      <w:highlight w:val="none"/>
                    </w:rPr>
                  </w:pPr>
                  <w:r>
                    <w:rPr>
                      <w:rFonts w:hint="eastAsia"/>
                      <w:color w:val="auto"/>
                      <w:szCs w:val="21"/>
                      <w:highlight w:val="none"/>
                    </w:rPr>
                    <w:t>太仓二厂</w:t>
                  </w:r>
                </w:p>
              </w:tc>
              <w:tc>
                <w:tcPr>
                  <w:tcW w:w="1299" w:type="dxa"/>
                  <w:vMerge w:val="restart"/>
                  <w:vAlign w:val="center"/>
                </w:tcPr>
                <w:p>
                  <w:pPr>
                    <w:jc w:val="center"/>
                    <w:rPr>
                      <w:color w:val="auto"/>
                      <w:szCs w:val="21"/>
                      <w:highlight w:val="none"/>
                    </w:rPr>
                  </w:pPr>
                  <w:r>
                    <w:rPr>
                      <w:rFonts w:hint="eastAsia"/>
                      <w:color w:val="auto"/>
                      <w:szCs w:val="21"/>
                      <w:highlight w:val="none"/>
                    </w:rPr>
                    <w:t>90%</w:t>
                  </w:r>
                </w:p>
              </w:tc>
              <w:tc>
                <w:tcPr>
                  <w:tcW w:w="1557" w:type="dxa"/>
                  <w:vAlign w:val="center"/>
                </w:tcPr>
                <w:p>
                  <w:pPr>
                    <w:jc w:val="center"/>
                    <w:rPr>
                      <w:color w:val="auto"/>
                      <w:szCs w:val="21"/>
                      <w:highlight w:val="none"/>
                    </w:rPr>
                  </w:pPr>
                  <w:r>
                    <w:rPr>
                      <w:rFonts w:hint="eastAsia"/>
                      <w:color w:val="auto"/>
                      <w:szCs w:val="21"/>
                      <w:highlight w:val="none"/>
                    </w:rPr>
                    <w:t>非甲烷总烃</w:t>
                  </w:r>
                </w:p>
              </w:tc>
              <w:tc>
                <w:tcPr>
                  <w:tcW w:w="2590" w:type="dxa"/>
                  <w:vAlign w:val="center"/>
                </w:tcPr>
                <w:p>
                  <w:pPr>
                    <w:jc w:val="center"/>
                    <w:rPr>
                      <w:color w:val="auto"/>
                      <w:szCs w:val="21"/>
                      <w:highlight w:val="none"/>
                    </w:rPr>
                  </w:pPr>
                  <w:r>
                    <w:rPr>
                      <w:rFonts w:hint="eastAsia"/>
                      <w:color w:val="auto"/>
                      <w:szCs w:val="21"/>
                      <w:highlight w:val="none"/>
                    </w:rPr>
                    <w:t>2.5mg/m</w:t>
                  </w:r>
                  <w:r>
                    <w:rPr>
                      <w:rFonts w:hint="eastAsia"/>
                      <w:color w:val="auto"/>
                      <w:szCs w:val="21"/>
                      <w:highlight w:val="none"/>
                      <w:vertAlign w:val="superscript"/>
                    </w:rPr>
                    <w:t>3</w:t>
                  </w:r>
                </w:p>
              </w:tc>
              <w:tc>
                <w:tcPr>
                  <w:tcW w:w="2590" w:type="dxa"/>
                  <w:vAlign w:val="center"/>
                </w:tcPr>
                <w:p>
                  <w:pPr>
                    <w:jc w:val="center"/>
                    <w:rPr>
                      <w:color w:val="auto"/>
                      <w:szCs w:val="21"/>
                      <w:highlight w:val="none"/>
                    </w:rPr>
                  </w:pPr>
                  <w:r>
                    <w:rPr>
                      <w:rFonts w:hint="eastAsia"/>
                      <w:color w:val="auto"/>
                      <w:szCs w:val="21"/>
                      <w:highlight w:val="none"/>
                    </w:rPr>
                    <w:t>0.00167kg/h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8" w:type="dxa"/>
                  <w:vMerge w:val="continue"/>
                  <w:vAlign w:val="center"/>
                </w:tcPr>
                <w:p>
                  <w:pPr>
                    <w:jc w:val="center"/>
                    <w:rPr>
                      <w:color w:val="auto"/>
                      <w:szCs w:val="21"/>
                      <w:highlight w:val="none"/>
                    </w:rPr>
                  </w:pPr>
                </w:p>
              </w:tc>
              <w:tc>
                <w:tcPr>
                  <w:tcW w:w="1299" w:type="dxa"/>
                  <w:vMerge w:val="continue"/>
                  <w:vAlign w:val="center"/>
                </w:tcPr>
                <w:p>
                  <w:pPr>
                    <w:jc w:val="center"/>
                    <w:rPr>
                      <w:color w:val="auto"/>
                      <w:szCs w:val="21"/>
                      <w:highlight w:val="none"/>
                    </w:rPr>
                  </w:pPr>
                </w:p>
              </w:tc>
              <w:tc>
                <w:tcPr>
                  <w:tcW w:w="1557" w:type="dxa"/>
                  <w:vAlign w:val="center"/>
                </w:tcPr>
                <w:p>
                  <w:pPr>
                    <w:jc w:val="center"/>
                    <w:rPr>
                      <w:color w:val="auto"/>
                      <w:szCs w:val="21"/>
                      <w:highlight w:val="none"/>
                    </w:rPr>
                  </w:pPr>
                  <w:r>
                    <w:rPr>
                      <w:rFonts w:hint="eastAsia"/>
                      <w:color w:val="auto"/>
                      <w:szCs w:val="21"/>
                      <w:highlight w:val="none"/>
                    </w:rPr>
                    <w:t>氮氧化物</w:t>
                  </w:r>
                </w:p>
              </w:tc>
              <w:tc>
                <w:tcPr>
                  <w:tcW w:w="2590" w:type="dxa"/>
                  <w:vAlign w:val="center"/>
                </w:tcPr>
                <w:p>
                  <w:pPr>
                    <w:jc w:val="center"/>
                    <w:rPr>
                      <w:color w:val="auto"/>
                      <w:szCs w:val="21"/>
                      <w:highlight w:val="none"/>
                    </w:rPr>
                  </w:pPr>
                  <w:r>
                    <w:rPr>
                      <w:rFonts w:hint="eastAsia"/>
                      <w:color w:val="auto"/>
                      <w:szCs w:val="21"/>
                      <w:highlight w:val="none"/>
                    </w:rPr>
                    <w:t>1.45mg/m</w:t>
                  </w:r>
                  <w:r>
                    <w:rPr>
                      <w:rFonts w:hint="eastAsia"/>
                      <w:color w:val="auto"/>
                      <w:szCs w:val="21"/>
                      <w:highlight w:val="none"/>
                      <w:vertAlign w:val="superscript"/>
                    </w:rPr>
                    <w:t>3</w:t>
                  </w:r>
                </w:p>
              </w:tc>
              <w:tc>
                <w:tcPr>
                  <w:tcW w:w="2590" w:type="dxa"/>
                  <w:vAlign w:val="center"/>
                </w:tcPr>
                <w:p>
                  <w:pPr>
                    <w:jc w:val="center"/>
                    <w:rPr>
                      <w:color w:val="auto"/>
                      <w:szCs w:val="21"/>
                      <w:highlight w:val="none"/>
                    </w:rPr>
                  </w:pPr>
                  <w:r>
                    <w:rPr>
                      <w:rFonts w:hint="eastAsia"/>
                      <w:color w:val="auto"/>
                      <w:szCs w:val="21"/>
                      <w:highlight w:val="none"/>
                    </w:rPr>
                    <w:t>0.000969kg/h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8" w:type="dxa"/>
                  <w:vMerge w:val="restart"/>
                  <w:vAlign w:val="center"/>
                </w:tcPr>
                <w:p>
                  <w:pPr>
                    <w:jc w:val="center"/>
                    <w:rPr>
                      <w:color w:val="auto"/>
                      <w:szCs w:val="21"/>
                      <w:highlight w:val="none"/>
                    </w:rPr>
                  </w:pPr>
                  <w:r>
                    <w:rPr>
                      <w:rFonts w:hint="eastAsia"/>
                      <w:color w:val="auto"/>
                      <w:szCs w:val="21"/>
                      <w:highlight w:val="none"/>
                    </w:rPr>
                    <w:t>太仓三厂</w:t>
                  </w:r>
                </w:p>
              </w:tc>
              <w:tc>
                <w:tcPr>
                  <w:tcW w:w="1299" w:type="dxa"/>
                  <w:vMerge w:val="restart"/>
                  <w:vAlign w:val="center"/>
                </w:tcPr>
                <w:p>
                  <w:pPr>
                    <w:jc w:val="center"/>
                    <w:rPr>
                      <w:color w:val="auto"/>
                      <w:szCs w:val="21"/>
                      <w:highlight w:val="none"/>
                    </w:rPr>
                  </w:pPr>
                  <w:r>
                    <w:rPr>
                      <w:rFonts w:hint="eastAsia"/>
                      <w:color w:val="auto"/>
                      <w:szCs w:val="21"/>
                      <w:highlight w:val="none"/>
                    </w:rPr>
                    <w:t>90%</w:t>
                  </w:r>
                </w:p>
              </w:tc>
              <w:tc>
                <w:tcPr>
                  <w:tcW w:w="1557" w:type="dxa"/>
                  <w:vAlign w:val="center"/>
                </w:tcPr>
                <w:p>
                  <w:pPr>
                    <w:jc w:val="center"/>
                    <w:rPr>
                      <w:color w:val="auto"/>
                      <w:szCs w:val="21"/>
                      <w:highlight w:val="none"/>
                    </w:rPr>
                  </w:pPr>
                  <w:r>
                    <w:rPr>
                      <w:rFonts w:hint="eastAsia"/>
                      <w:color w:val="auto"/>
                      <w:szCs w:val="21"/>
                      <w:highlight w:val="none"/>
                    </w:rPr>
                    <w:t>非甲烷总烃</w:t>
                  </w:r>
                </w:p>
              </w:tc>
              <w:tc>
                <w:tcPr>
                  <w:tcW w:w="2590" w:type="dxa"/>
                  <w:vAlign w:val="center"/>
                </w:tcPr>
                <w:p>
                  <w:pPr>
                    <w:jc w:val="center"/>
                    <w:rPr>
                      <w:color w:val="auto"/>
                      <w:szCs w:val="21"/>
                      <w:highlight w:val="none"/>
                    </w:rPr>
                  </w:pPr>
                  <w:r>
                    <w:rPr>
                      <w:rFonts w:hint="eastAsia"/>
                      <w:color w:val="auto"/>
                      <w:szCs w:val="21"/>
                      <w:highlight w:val="none"/>
                    </w:rPr>
                    <w:t>4.39mg/m</w:t>
                  </w:r>
                  <w:r>
                    <w:rPr>
                      <w:rFonts w:hint="eastAsia"/>
                      <w:color w:val="auto"/>
                      <w:szCs w:val="21"/>
                      <w:highlight w:val="none"/>
                      <w:vertAlign w:val="superscript"/>
                    </w:rPr>
                    <w:t>3</w:t>
                  </w:r>
                </w:p>
              </w:tc>
              <w:tc>
                <w:tcPr>
                  <w:tcW w:w="2590" w:type="dxa"/>
                  <w:vAlign w:val="center"/>
                </w:tcPr>
                <w:p>
                  <w:pPr>
                    <w:jc w:val="center"/>
                    <w:rPr>
                      <w:color w:val="auto"/>
                      <w:szCs w:val="21"/>
                      <w:highlight w:val="none"/>
                    </w:rPr>
                  </w:pPr>
                  <w:r>
                    <w:rPr>
                      <w:rFonts w:hint="eastAsia"/>
                      <w:color w:val="auto"/>
                      <w:szCs w:val="21"/>
                      <w:highlight w:val="none"/>
                    </w:rPr>
                    <w:t>0.00662kg/h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98" w:type="dxa"/>
                  <w:vMerge w:val="continue"/>
                  <w:vAlign w:val="center"/>
                </w:tcPr>
                <w:p>
                  <w:pPr>
                    <w:jc w:val="center"/>
                    <w:rPr>
                      <w:color w:val="auto"/>
                      <w:szCs w:val="21"/>
                      <w:highlight w:val="none"/>
                    </w:rPr>
                  </w:pPr>
                </w:p>
              </w:tc>
              <w:tc>
                <w:tcPr>
                  <w:tcW w:w="1299" w:type="dxa"/>
                  <w:vMerge w:val="continue"/>
                  <w:vAlign w:val="center"/>
                </w:tcPr>
                <w:p>
                  <w:pPr>
                    <w:jc w:val="center"/>
                    <w:rPr>
                      <w:color w:val="auto"/>
                      <w:szCs w:val="21"/>
                      <w:highlight w:val="none"/>
                    </w:rPr>
                  </w:pPr>
                </w:p>
              </w:tc>
              <w:tc>
                <w:tcPr>
                  <w:tcW w:w="1557" w:type="dxa"/>
                  <w:vAlign w:val="center"/>
                </w:tcPr>
                <w:p>
                  <w:pPr>
                    <w:jc w:val="center"/>
                    <w:rPr>
                      <w:color w:val="auto"/>
                      <w:szCs w:val="21"/>
                      <w:highlight w:val="none"/>
                    </w:rPr>
                  </w:pPr>
                  <w:r>
                    <w:rPr>
                      <w:rFonts w:hint="eastAsia"/>
                      <w:color w:val="auto"/>
                      <w:szCs w:val="21"/>
                      <w:highlight w:val="none"/>
                    </w:rPr>
                    <w:t>氮氧化物</w:t>
                  </w:r>
                </w:p>
              </w:tc>
              <w:tc>
                <w:tcPr>
                  <w:tcW w:w="2590" w:type="dxa"/>
                  <w:vAlign w:val="center"/>
                </w:tcPr>
                <w:p>
                  <w:pPr>
                    <w:jc w:val="center"/>
                    <w:rPr>
                      <w:color w:val="auto"/>
                      <w:szCs w:val="21"/>
                      <w:highlight w:val="none"/>
                    </w:rPr>
                  </w:pPr>
                  <w:r>
                    <w:rPr>
                      <w:rFonts w:hint="eastAsia"/>
                      <w:color w:val="auto"/>
                      <w:szCs w:val="21"/>
                      <w:highlight w:val="none"/>
                    </w:rPr>
                    <w:t>0.961mg/m</w:t>
                  </w:r>
                  <w:r>
                    <w:rPr>
                      <w:rFonts w:hint="eastAsia"/>
                      <w:color w:val="auto"/>
                      <w:szCs w:val="21"/>
                      <w:highlight w:val="none"/>
                      <w:vertAlign w:val="superscript"/>
                    </w:rPr>
                    <w:t>3</w:t>
                  </w:r>
                </w:p>
              </w:tc>
              <w:tc>
                <w:tcPr>
                  <w:tcW w:w="2590" w:type="dxa"/>
                  <w:vAlign w:val="center"/>
                </w:tcPr>
                <w:p>
                  <w:pPr>
                    <w:jc w:val="center"/>
                    <w:rPr>
                      <w:color w:val="auto"/>
                      <w:szCs w:val="21"/>
                      <w:highlight w:val="none"/>
                    </w:rPr>
                  </w:pPr>
                  <w:r>
                    <w:rPr>
                      <w:rFonts w:hint="eastAsia"/>
                      <w:color w:val="auto"/>
                      <w:szCs w:val="21"/>
                      <w:highlight w:val="none"/>
                    </w:rPr>
                    <w:t>0.00145kg/h</w:t>
                  </w:r>
                </w:p>
              </w:tc>
            </w:tr>
          </w:tbl>
          <w:p>
            <w:pPr>
              <w:spacing w:line="360" w:lineRule="auto"/>
              <w:ind w:firstLine="480" w:firstLineChars="200"/>
              <w:rPr>
                <w:color w:val="auto"/>
                <w:sz w:val="24"/>
                <w:highlight w:val="none"/>
              </w:rPr>
            </w:pPr>
            <w:r>
              <w:rPr>
                <w:rFonts w:hint="eastAsia"/>
                <w:color w:val="auto"/>
                <w:sz w:val="24"/>
                <w:highlight w:val="none"/>
              </w:rPr>
              <w:t>从表中数据可以看出，太仓一厂~三厂热处理废气中非甲烷总烃排放浓度为2.5~4.39mg/m</w:t>
            </w:r>
            <w:r>
              <w:rPr>
                <w:rFonts w:hint="eastAsia"/>
                <w:color w:val="auto"/>
                <w:sz w:val="24"/>
                <w:highlight w:val="none"/>
                <w:vertAlign w:val="superscript"/>
              </w:rPr>
              <w:t>3</w:t>
            </w:r>
            <w:r>
              <w:rPr>
                <w:rFonts w:hint="eastAsia"/>
                <w:color w:val="auto"/>
                <w:sz w:val="24"/>
                <w:highlight w:val="none"/>
              </w:rPr>
              <w:t>，平均值为3.51mg/m</w:t>
            </w:r>
            <w:r>
              <w:rPr>
                <w:rFonts w:hint="eastAsia"/>
                <w:color w:val="auto"/>
                <w:sz w:val="24"/>
                <w:highlight w:val="none"/>
                <w:vertAlign w:val="superscript"/>
              </w:rPr>
              <w:t>3</w:t>
            </w:r>
            <w:r>
              <w:rPr>
                <w:rFonts w:hint="eastAsia"/>
                <w:color w:val="auto"/>
                <w:sz w:val="24"/>
                <w:highlight w:val="none"/>
              </w:rPr>
              <w:t>；排放速率为0.00167kg/h~0.015kg/h，平均值为0.0078kg/h。氮氧化物排放浓度为0.961~32.2mg/m</w:t>
            </w:r>
            <w:r>
              <w:rPr>
                <w:rFonts w:hint="eastAsia"/>
                <w:color w:val="auto"/>
                <w:sz w:val="24"/>
                <w:highlight w:val="none"/>
                <w:vertAlign w:val="superscript"/>
              </w:rPr>
              <w:t>3</w:t>
            </w:r>
            <w:r>
              <w:rPr>
                <w:rFonts w:hint="eastAsia"/>
                <w:color w:val="auto"/>
                <w:sz w:val="24"/>
                <w:highlight w:val="none"/>
              </w:rPr>
              <w:t>，平均值为11.538mg/m</w:t>
            </w:r>
            <w:r>
              <w:rPr>
                <w:rFonts w:hint="eastAsia"/>
                <w:color w:val="auto"/>
                <w:sz w:val="24"/>
                <w:highlight w:val="none"/>
                <w:vertAlign w:val="superscript"/>
              </w:rPr>
              <w:t>3</w:t>
            </w:r>
            <w:r>
              <w:rPr>
                <w:rFonts w:hint="eastAsia"/>
                <w:color w:val="auto"/>
                <w:sz w:val="24"/>
                <w:highlight w:val="none"/>
              </w:rPr>
              <w:t>；排放速率为0.000969kg/h~0.136kg/h，平均值为0.0461kg/h。</w:t>
            </w:r>
          </w:p>
          <w:p>
            <w:pPr>
              <w:spacing w:line="360" w:lineRule="auto"/>
              <w:ind w:firstLine="480" w:firstLineChars="200"/>
              <w:rPr>
                <w:color w:val="auto"/>
                <w:sz w:val="24"/>
                <w:highlight w:val="none"/>
              </w:rPr>
            </w:pPr>
            <w:r>
              <w:rPr>
                <w:rFonts w:hint="eastAsia"/>
                <w:color w:val="auto"/>
                <w:sz w:val="24"/>
                <w:highlight w:val="none"/>
              </w:rPr>
              <w:t>本项目工件热处理工艺与同类工程舍弗勒（中国）有限公司太仓一厂~三厂热处理工艺相同，热处理废气中污染物排放浓度与同类工程相似，本项目取同类工程对应的平均值，分别为非甲烷总烃3.51mg/m</w:t>
            </w:r>
            <w:r>
              <w:rPr>
                <w:rFonts w:hint="eastAsia"/>
                <w:color w:val="auto"/>
                <w:sz w:val="24"/>
                <w:highlight w:val="none"/>
                <w:vertAlign w:val="superscript"/>
              </w:rPr>
              <w:t>3</w:t>
            </w:r>
            <w:r>
              <w:rPr>
                <w:rFonts w:hint="eastAsia"/>
                <w:color w:val="auto"/>
                <w:sz w:val="24"/>
                <w:highlight w:val="none"/>
              </w:rPr>
              <w:t>，氮氧化物11.538mg/m</w:t>
            </w:r>
            <w:r>
              <w:rPr>
                <w:rFonts w:hint="eastAsia"/>
                <w:color w:val="auto"/>
                <w:sz w:val="24"/>
                <w:highlight w:val="none"/>
                <w:vertAlign w:val="superscript"/>
              </w:rPr>
              <w:t>3</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根据建设方提供的资料，本项目轮毂轴承工件（200万件）热处理量约为太仓工厂热处理工件总量的5%，滚子摇臂、可变滚子摇臂以及张紧器工件热处理量（共计3110万件）约为太仓工件热处理工件总量的78%。类比太仓工厂，则本项目轮毂轴承工件热处理废气中非甲烷总烃、氮氧化物排放量分别为0.00039kg/h、0.0023kg/h，其他工件热处理废气中非甲烷总烃、氮氧化物排放量分别为0.0061kg/h、0.0036kg/h。</w:t>
            </w:r>
          </w:p>
          <w:p>
            <w:pPr>
              <w:spacing w:line="360" w:lineRule="auto"/>
              <w:ind w:firstLine="480" w:firstLineChars="200"/>
              <w:rPr>
                <w:color w:val="auto"/>
                <w:sz w:val="24"/>
                <w:highlight w:val="none"/>
              </w:rPr>
            </w:pPr>
            <w:r>
              <w:rPr>
                <w:rFonts w:hint="eastAsia"/>
                <w:color w:val="auto"/>
                <w:sz w:val="24"/>
                <w:highlight w:val="none"/>
              </w:rPr>
              <w:t>（2）清洗废气</w:t>
            </w:r>
          </w:p>
          <w:p>
            <w:pPr>
              <w:spacing w:line="360" w:lineRule="auto"/>
              <w:ind w:firstLine="480" w:firstLineChars="200"/>
              <w:rPr>
                <w:color w:val="auto"/>
                <w:sz w:val="24"/>
                <w:highlight w:val="none"/>
              </w:rPr>
            </w:pPr>
            <w:r>
              <w:rPr>
                <w:rFonts w:hint="eastAsia"/>
                <w:color w:val="auto"/>
                <w:sz w:val="24"/>
                <w:highlight w:val="none"/>
              </w:rPr>
              <w:t>根据本报告5.1.2内容可知，本项目滚子摇臂、可变滚子摇臂、轮毂轴承、张紧器清洗废气经15m排气筒（1#）排放。排放的清洗废气中主要污染物为HNO</w:t>
            </w:r>
            <w:r>
              <w:rPr>
                <w:rFonts w:hint="eastAsia"/>
                <w:color w:val="auto"/>
                <w:sz w:val="24"/>
                <w:highlight w:val="none"/>
                <w:vertAlign w:val="subscript"/>
              </w:rPr>
              <w:t>3</w:t>
            </w:r>
            <w:r>
              <w:rPr>
                <w:rFonts w:hint="eastAsia"/>
                <w:color w:val="auto"/>
                <w:sz w:val="24"/>
                <w:highlight w:val="none"/>
              </w:rPr>
              <w:t>酸雾、挥发性有机化合物。考虑到HNO</w:t>
            </w:r>
            <w:r>
              <w:rPr>
                <w:rFonts w:hint="eastAsia"/>
                <w:color w:val="auto"/>
                <w:sz w:val="24"/>
                <w:highlight w:val="none"/>
                <w:vertAlign w:val="subscript"/>
              </w:rPr>
              <w:t>3</w:t>
            </w:r>
            <w:r>
              <w:rPr>
                <w:rFonts w:hint="eastAsia"/>
                <w:color w:val="auto"/>
                <w:sz w:val="24"/>
                <w:highlight w:val="none"/>
              </w:rPr>
              <w:t>酸雾目前国内无相应的评价标准，本报告仅对清洗废气中的挥发性有机化合物进行定量分析。</w:t>
            </w:r>
          </w:p>
          <w:p>
            <w:pPr>
              <w:spacing w:line="360" w:lineRule="auto"/>
              <w:ind w:firstLine="480" w:firstLineChars="200"/>
              <w:rPr>
                <w:color w:val="auto"/>
                <w:sz w:val="24"/>
                <w:highlight w:val="none"/>
              </w:rPr>
            </w:pPr>
            <w:r>
              <w:rPr>
                <w:rFonts w:hint="eastAsia"/>
                <w:color w:val="auto"/>
                <w:sz w:val="24"/>
                <w:highlight w:val="none"/>
              </w:rPr>
              <w:t>为了解项目清洗废气中污染物排放情况，本报告类比同类工程舍弗勒（中国）有限公司太仓一厂、二厂清洗废气污染物浓度。表5-7为同类工程情况简介。</w:t>
            </w:r>
          </w:p>
          <w:p>
            <w:pPr>
              <w:snapToGrid w:val="0"/>
              <w:spacing w:line="360" w:lineRule="auto"/>
              <w:jc w:val="center"/>
              <w:rPr>
                <w:b/>
                <w:color w:val="auto"/>
                <w:sz w:val="24"/>
                <w:highlight w:val="none"/>
              </w:rPr>
            </w:pPr>
            <w:r>
              <w:rPr>
                <w:rFonts w:hint="eastAsia"/>
                <w:b/>
                <w:color w:val="auto"/>
                <w:sz w:val="24"/>
                <w:highlight w:val="none"/>
              </w:rPr>
              <w:t>表5-7  同类工程生产情况一览表</w:t>
            </w:r>
          </w:p>
          <w:tbl>
            <w:tblPr>
              <w:tblStyle w:val="29"/>
              <w:tblW w:w="933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5"/>
              <w:gridCol w:w="2008"/>
              <w:gridCol w:w="1701"/>
              <w:gridCol w:w="2143"/>
              <w:gridCol w:w="20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5" w:type="dxa"/>
                  <w:vAlign w:val="center"/>
                </w:tcPr>
                <w:p>
                  <w:pPr>
                    <w:jc w:val="center"/>
                    <w:rPr>
                      <w:color w:val="auto"/>
                      <w:szCs w:val="21"/>
                      <w:highlight w:val="none"/>
                    </w:rPr>
                  </w:pPr>
                  <w:r>
                    <w:rPr>
                      <w:rFonts w:hint="eastAsia"/>
                      <w:color w:val="auto"/>
                      <w:szCs w:val="21"/>
                      <w:highlight w:val="none"/>
                    </w:rPr>
                    <w:t>名称</w:t>
                  </w:r>
                </w:p>
              </w:tc>
              <w:tc>
                <w:tcPr>
                  <w:tcW w:w="2008" w:type="dxa"/>
                  <w:vAlign w:val="center"/>
                </w:tcPr>
                <w:p>
                  <w:pPr>
                    <w:jc w:val="center"/>
                    <w:rPr>
                      <w:color w:val="auto"/>
                      <w:szCs w:val="21"/>
                      <w:highlight w:val="none"/>
                    </w:rPr>
                  </w:pPr>
                  <w:r>
                    <w:rPr>
                      <w:rFonts w:hint="eastAsia"/>
                      <w:color w:val="auto"/>
                      <w:szCs w:val="21"/>
                      <w:highlight w:val="none"/>
                    </w:rPr>
                    <w:t>主要产品</w:t>
                  </w:r>
                </w:p>
              </w:tc>
              <w:tc>
                <w:tcPr>
                  <w:tcW w:w="1701" w:type="dxa"/>
                  <w:vAlign w:val="center"/>
                </w:tcPr>
                <w:p>
                  <w:pPr>
                    <w:jc w:val="center"/>
                    <w:rPr>
                      <w:color w:val="auto"/>
                      <w:szCs w:val="21"/>
                      <w:highlight w:val="none"/>
                    </w:rPr>
                  </w:pPr>
                  <w:r>
                    <w:rPr>
                      <w:rFonts w:hint="eastAsia"/>
                      <w:color w:val="auto"/>
                      <w:szCs w:val="21"/>
                      <w:highlight w:val="none"/>
                    </w:rPr>
                    <w:t>主要生产工艺</w:t>
                  </w:r>
                </w:p>
              </w:tc>
              <w:tc>
                <w:tcPr>
                  <w:tcW w:w="2143" w:type="dxa"/>
                  <w:vAlign w:val="center"/>
                </w:tcPr>
                <w:p>
                  <w:pPr>
                    <w:jc w:val="center"/>
                    <w:rPr>
                      <w:color w:val="auto"/>
                      <w:szCs w:val="21"/>
                      <w:highlight w:val="none"/>
                    </w:rPr>
                  </w:pPr>
                  <w:r>
                    <w:rPr>
                      <w:rFonts w:hint="eastAsia"/>
                      <w:color w:val="auto"/>
                      <w:szCs w:val="21"/>
                      <w:highlight w:val="none"/>
                    </w:rPr>
                    <w:t>废气处理设施</w:t>
                  </w:r>
                </w:p>
              </w:tc>
              <w:tc>
                <w:tcPr>
                  <w:tcW w:w="2027" w:type="dxa"/>
                  <w:vAlign w:val="center"/>
                </w:tcPr>
                <w:p>
                  <w:pPr>
                    <w:jc w:val="center"/>
                    <w:rPr>
                      <w:color w:val="auto"/>
                      <w:szCs w:val="21"/>
                      <w:highlight w:val="none"/>
                    </w:rPr>
                  </w:pPr>
                  <w:r>
                    <w:rPr>
                      <w:rFonts w:hint="eastAsia"/>
                      <w:color w:val="auto"/>
                      <w:szCs w:val="21"/>
                      <w:highlight w:val="none"/>
                    </w:rPr>
                    <w:t>工作制度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5" w:type="dxa"/>
                  <w:vAlign w:val="center"/>
                </w:tcPr>
                <w:p>
                  <w:pPr>
                    <w:jc w:val="center"/>
                    <w:rPr>
                      <w:color w:val="auto"/>
                      <w:szCs w:val="21"/>
                      <w:highlight w:val="none"/>
                    </w:rPr>
                  </w:pPr>
                  <w:r>
                    <w:rPr>
                      <w:rFonts w:hint="eastAsia"/>
                      <w:color w:val="auto"/>
                      <w:szCs w:val="21"/>
                      <w:highlight w:val="none"/>
                    </w:rPr>
                    <w:t>太仓一厂</w:t>
                  </w:r>
                </w:p>
              </w:tc>
              <w:tc>
                <w:tcPr>
                  <w:tcW w:w="2008" w:type="dxa"/>
                  <w:vMerge w:val="restart"/>
                  <w:vAlign w:val="center"/>
                </w:tcPr>
                <w:p>
                  <w:pPr>
                    <w:jc w:val="left"/>
                    <w:rPr>
                      <w:color w:val="auto"/>
                      <w:szCs w:val="21"/>
                      <w:highlight w:val="none"/>
                    </w:rPr>
                  </w:pPr>
                  <w:r>
                    <w:rPr>
                      <w:rFonts w:hint="eastAsia"/>
                      <w:color w:val="auto"/>
                      <w:szCs w:val="21"/>
                      <w:highlight w:val="none"/>
                    </w:rPr>
                    <w:t>滚子摇臂、可变滚子摇臂、轮毂轴承、张紧器</w:t>
                  </w:r>
                </w:p>
              </w:tc>
              <w:tc>
                <w:tcPr>
                  <w:tcW w:w="1701" w:type="dxa"/>
                  <w:vMerge w:val="restart"/>
                  <w:vAlign w:val="center"/>
                </w:tcPr>
                <w:p>
                  <w:pPr>
                    <w:jc w:val="center"/>
                    <w:rPr>
                      <w:color w:val="auto"/>
                      <w:szCs w:val="21"/>
                      <w:highlight w:val="none"/>
                    </w:rPr>
                  </w:pPr>
                  <w:r>
                    <w:rPr>
                      <w:rFonts w:hint="eastAsia"/>
                      <w:color w:val="auto"/>
                      <w:szCs w:val="21"/>
                      <w:highlight w:val="none"/>
                    </w:rPr>
                    <w:t>使用水性及油性清洗液清洗工件</w:t>
                  </w:r>
                </w:p>
              </w:tc>
              <w:tc>
                <w:tcPr>
                  <w:tcW w:w="2143" w:type="dxa"/>
                  <w:vMerge w:val="restart"/>
                  <w:vAlign w:val="center"/>
                </w:tcPr>
                <w:p>
                  <w:pPr>
                    <w:jc w:val="center"/>
                    <w:rPr>
                      <w:color w:val="auto"/>
                      <w:szCs w:val="21"/>
                      <w:highlight w:val="none"/>
                    </w:rPr>
                  </w:pPr>
                  <w:r>
                    <w:rPr>
                      <w:rFonts w:hint="eastAsia"/>
                      <w:color w:val="auto"/>
                      <w:szCs w:val="21"/>
                      <w:highlight w:val="none"/>
                    </w:rPr>
                    <w:t>与本项目一致：收集后经15m排气筒排出</w:t>
                  </w:r>
                </w:p>
              </w:tc>
              <w:tc>
                <w:tcPr>
                  <w:tcW w:w="2027" w:type="dxa"/>
                  <w:vMerge w:val="restart"/>
                  <w:vAlign w:val="center"/>
                </w:tcPr>
                <w:p>
                  <w:pPr>
                    <w:jc w:val="left"/>
                    <w:rPr>
                      <w:color w:val="auto"/>
                      <w:szCs w:val="21"/>
                      <w:highlight w:val="none"/>
                    </w:rPr>
                  </w:pPr>
                  <w:r>
                    <w:rPr>
                      <w:rFonts w:hint="eastAsia"/>
                      <w:color w:val="auto"/>
                      <w:szCs w:val="21"/>
                      <w:highlight w:val="none"/>
                    </w:rPr>
                    <w:t>年工作300天，每天3班，每班工作8小时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5" w:type="dxa"/>
                  <w:vAlign w:val="center"/>
                </w:tcPr>
                <w:p>
                  <w:pPr>
                    <w:jc w:val="center"/>
                    <w:rPr>
                      <w:color w:val="auto"/>
                      <w:szCs w:val="21"/>
                      <w:highlight w:val="none"/>
                    </w:rPr>
                  </w:pPr>
                  <w:r>
                    <w:rPr>
                      <w:rFonts w:hint="eastAsia"/>
                      <w:color w:val="auto"/>
                      <w:szCs w:val="21"/>
                      <w:highlight w:val="none"/>
                    </w:rPr>
                    <w:t>太仓二厂</w:t>
                  </w:r>
                </w:p>
              </w:tc>
              <w:tc>
                <w:tcPr>
                  <w:tcW w:w="2008" w:type="dxa"/>
                  <w:vMerge w:val="continue"/>
                  <w:vAlign w:val="center"/>
                </w:tcPr>
                <w:p>
                  <w:pPr>
                    <w:jc w:val="left"/>
                    <w:rPr>
                      <w:color w:val="auto"/>
                      <w:szCs w:val="21"/>
                      <w:highlight w:val="none"/>
                    </w:rPr>
                  </w:pPr>
                </w:p>
              </w:tc>
              <w:tc>
                <w:tcPr>
                  <w:tcW w:w="1701" w:type="dxa"/>
                  <w:vMerge w:val="continue"/>
                  <w:vAlign w:val="center"/>
                </w:tcPr>
                <w:p>
                  <w:pPr>
                    <w:jc w:val="center"/>
                    <w:rPr>
                      <w:color w:val="auto"/>
                      <w:szCs w:val="21"/>
                      <w:highlight w:val="none"/>
                    </w:rPr>
                  </w:pPr>
                </w:p>
              </w:tc>
              <w:tc>
                <w:tcPr>
                  <w:tcW w:w="2143" w:type="dxa"/>
                  <w:vMerge w:val="continue"/>
                  <w:vAlign w:val="center"/>
                </w:tcPr>
                <w:p>
                  <w:pPr>
                    <w:jc w:val="center"/>
                    <w:rPr>
                      <w:color w:val="auto"/>
                      <w:szCs w:val="21"/>
                      <w:highlight w:val="none"/>
                    </w:rPr>
                  </w:pPr>
                </w:p>
              </w:tc>
              <w:tc>
                <w:tcPr>
                  <w:tcW w:w="2027" w:type="dxa"/>
                  <w:vMerge w:val="continue"/>
                  <w:vAlign w:val="center"/>
                </w:tcPr>
                <w:p>
                  <w:pPr>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55" w:type="dxa"/>
                  <w:vAlign w:val="center"/>
                </w:tcPr>
                <w:p>
                  <w:pPr>
                    <w:jc w:val="center"/>
                    <w:rPr>
                      <w:color w:val="auto"/>
                      <w:szCs w:val="21"/>
                      <w:highlight w:val="none"/>
                    </w:rPr>
                  </w:pPr>
                  <w:r>
                    <w:rPr>
                      <w:rFonts w:hint="eastAsia"/>
                      <w:color w:val="auto"/>
                      <w:szCs w:val="21"/>
                      <w:highlight w:val="none"/>
                    </w:rPr>
                    <w:t>本项目</w:t>
                  </w:r>
                </w:p>
              </w:tc>
              <w:tc>
                <w:tcPr>
                  <w:tcW w:w="2008" w:type="dxa"/>
                  <w:vAlign w:val="center"/>
                </w:tcPr>
                <w:p>
                  <w:pPr>
                    <w:jc w:val="left"/>
                    <w:rPr>
                      <w:color w:val="auto"/>
                      <w:szCs w:val="21"/>
                      <w:highlight w:val="none"/>
                    </w:rPr>
                  </w:pPr>
                  <w:r>
                    <w:rPr>
                      <w:rFonts w:hint="eastAsia"/>
                      <w:color w:val="auto"/>
                      <w:szCs w:val="21"/>
                      <w:highlight w:val="none"/>
                    </w:rPr>
                    <w:t>滚子摇臂、可变滚子摇臂、轮毂轴承、张紧器</w:t>
                  </w:r>
                </w:p>
              </w:tc>
              <w:tc>
                <w:tcPr>
                  <w:tcW w:w="1701" w:type="dxa"/>
                  <w:vAlign w:val="center"/>
                </w:tcPr>
                <w:p>
                  <w:pPr>
                    <w:jc w:val="center"/>
                    <w:rPr>
                      <w:color w:val="auto"/>
                      <w:szCs w:val="21"/>
                      <w:highlight w:val="none"/>
                    </w:rPr>
                  </w:pPr>
                  <w:r>
                    <w:rPr>
                      <w:rFonts w:hint="eastAsia"/>
                      <w:color w:val="auto"/>
                      <w:szCs w:val="21"/>
                      <w:highlight w:val="none"/>
                    </w:rPr>
                    <w:t>与太仓工厂一致</w:t>
                  </w:r>
                </w:p>
              </w:tc>
              <w:tc>
                <w:tcPr>
                  <w:tcW w:w="2143" w:type="dxa"/>
                  <w:vAlign w:val="center"/>
                </w:tcPr>
                <w:p>
                  <w:pPr>
                    <w:jc w:val="center"/>
                    <w:rPr>
                      <w:color w:val="auto"/>
                      <w:szCs w:val="21"/>
                      <w:highlight w:val="none"/>
                    </w:rPr>
                  </w:pPr>
                  <w:r>
                    <w:rPr>
                      <w:rFonts w:hint="eastAsia"/>
                      <w:color w:val="auto"/>
                      <w:szCs w:val="21"/>
                      <w:highlight w:val="none"/>
                    </w:rPr>
                    <w:t>与太仓工厂一致</w:t>
                  </w:r>
                </w:p>
              </w:tc>
              <w:tc>
                <w:tcPr>
                  <w:tcW w:w="2027" w:type="dxa"/>
                  <w:vAlign w:val="center"/>
                </w:tcPr>
                <w:p>
                  <w:pPr>
                    <w:jc w:val="center"/>
                    <w:rPr>
                      <w:color w:val="auto"/>
                      <w:szCs w:val="21"/>
                      <w:highlight w:val="none"/>
                    </w:rPr>
                  </w:pPr>
                  <w:r>
                    <w:rPr>
                      <w:rFonts w:hint="eastAsia"/>
                      <w:color w:val="auto"/>
                      <w:szCs w:val="21"/>
                      <w:highlight w:val="none"/>
                    </w:rPr>
                    <w:t>与太仓工厂一致</w:t>
                  </w:r>
                </w:p>
              </w:tc>
            </w:tr>
          </w:tbl>
          <w:p>
            <w:pPr>
              <w:spacing w:line="360" w:lineRule="auto"/>
              <w:ind w:firstLine="480" w:firstLineChars="200"/>
              <w:rPr>
                <w:color w:val="auto"/>
                <w:sz w:val="24"/>
                <w:highlight w:val="none"/>
              </w:rPr>
            </w:pPr>
            <w:r>
              <w:rPr>
                <w:rFonts w:hint="eastAsia"/>
                <w:color w:val="auto"/>
                <w:sz w:val="24"/>
                <w:highlight w:val="none"/>
              </w:rPr>
              <w:t>2016年1月27日-28日，舍弗勒（中国）有限公司委托江苏国泰环境监测有限公司对太仓一厂、二厂清洗废气进行了监测（监测报告见附件），监测情况见下表5-8：</w:t>
            </w:r>
          </w:p>
          <w:p>
            <w:pPr>
              <w:snapToGrid w:val="0"/>
              <w:spacing w:line="360" w:lineRule="auto"/>
              <w:jc w:val="center"/>
              <w:rPr>
                <w:b/>
                <w:color w:val="auto"/>
                <w:sz w:val="24"/>
                <w:highlight w:val="none"/>
              </w:rPr>
            </w:pPr>
            <w:r>
              <w:rPr>
                <w:rFonts w:hint="eastAsia"/>
                <w:b/>
                <w:color w:val="auto"/>
                <w:sz w:val="24"/>
                <w:highlight w:val="none"/>
              </w:rPr>
              <w:t>表5-8  太仓一厂、二厂清洗废气排放情况一览表</w:t>
            </w:r>
          </w:p>
          <w:tbl>
            <w:tblPr>
              <w:tblStyle w:val="29"/>
              <w:tblW w:w="933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264"/>
              <w:gridCol w:w="1766"/>
              <w:gridCol w:w="2520"/>
              <w:gridCol w:w="2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28" w:type="dxa"/>
                  <w:gridSpan w:val="2"/>
                  <w:vAlign w:val="center"/>
                </w:tcPr>
                <w:p>
                  <w:pPr>
                    <w:jc w:val="center"/>
                    <w:rPr>
                      <w:color w:val="auto"/>
                      <w:szCs w:val="21"/>
                      <w:highlight w:val="none"/>
                    </w:rPr>
                  </w:pPr>
                  <w:r>
                    <w:rPr>
                      <w:rFonts w:hint="eastAsia"/>
                      <w:color w:val="auto"/>
                      <w:szCs w:val="21"/>
                      <w:highlight w:val="none"/>
                    </w:rPr>
                    <w:t>同类工程</w:t>
                  </w:r>
                </w:p>
              </w:tc>
              <w:tc>
                <w:tcPr>
                  <w:tcW w:w="6806" w:type="dxa"/>
                  <w:gridSpan w:val="3"/>
                  <w:vAlign w:val="center"/>
                </w:tcPr>
                <w:p>
                  <w:pPr>
                    <w:jc w:val="center"/>
                    <w:rPr>
                      <w:color w:val="auto"/>
                      <w:szCs w:val="21"/>
                      <w:highlight w:val="none"/>
                    </w:rPr>
                  </w:pPr>
                  <w:r>
                    <w:rPr>
                      <w:rFonts w:hint="eastAsia"/>
                      <w:color w:val="auto"/>
                      <w:szCs w:val="21"/>
                      <w:highlight w:val="none"/>
                    </w:rPr>
                    <w:t>污染物数据来源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4" w:type="dxa"/>
                  <w:vAlign w:val="center"/>
                </w:tcPr>
                <w:p>
                  <w:pPr>
                    <w:jc w:val="center"/>
                    <w:rPr>
                      <w:color w:val="auto"/>
                      <w:szCs w:val="21"/>
                      <w:highlight w:val="none"/>
                    </w:rPr>
                  </w:pPr>
                  <w:r>
                    <w:rPr>
                      <w:rFonts w:hint="eastAsia"/>
                      <w:color w:val="auto"/>
                      <w:szCs w:val="21"/>
                      <w:highlight w:val="none"/>
                    </w:rPr>
                    <w:t>项目名称</w:t>
                  </w:r>
                </w:p>
              </w:tc>
              <w:tc>
                <w:tcPr>
                  <w:tcW w:w="1264" w:type="dxa"/>
                  <w:vAlign w:val="center"/>
                </w:tcPr>
                <w:p>
                  <w:pPr>
                    <w:jc w:val="center"/>
                    <w:rPr>
                      <w:color w:val="auto"/>
                      <w:szCs w:val="21"/>
                      <w:highlight w:val="none"/>
                    </w:rPr>
                  </w:pPr>
                  <w:r>
                    <w:rPr>
                      <w:rFonts w:hint="eastAsia"/>
                      <w:color w:val="auto"/>
                      <w:szCs w:val="21"/>
                      <w:highlight w:val="none"/>
                    </w:rPr>
                    <w:t>监测期间</w:t>
                  </w:r>
                </w:p>
                <w:p>
                  <w:pPr>
                    <w:jc w:val="center"/>
                    <w:rPr>
                      <w:color w:val="auto"/>
                      <w:szCs w:val="21"/>
                      <w:highlight w:val="none"/>
                    </w:rPr>
                  </w:pPr>
                  <w:r>
                    <w:rPr>
                      <w:rFonts w:hint="eastAsia"/>
                      <w:color w:val="auto"/>
                      <w:szCs w:val="21"/>
                      <w:highlight w:val="none"/>
                    </w:rPr>
                    <w:t>生产负荷</w:t>
                  </w:r>
                </w:p>
              </w:tc>
              <w:tc>
                <w:tcPr>
                  <w:tcW w:w="1766" w:type="dxa"/>
                  <w:vAlign w:val="center"/>
                </w:tcPr>
                <w:p>
                  <w:pPr>
                    <w:jc w:val="center"/>
                    <w:rPr>
                      <w:color w:val="auto"/>
                      <w:szCs w:val="21"/>
                      <w:highlight w:val="none"/>
                    </w:rPr>
                  </w:pPr>
                  <w:r>
                    <w:rPr>
                      <w:rFonts w:hint="eastAsia"/>
                      <w:color w:val="auto"/>
                      <w:szCs w:val="21"/>
                      <w:highlight w:val="none"/>
                    </w:rPr>
                    <w:t>污染物名称</w:t>
                  </w:r>
                </w:p>
              </w:tc>
              <w:tc>
                <w:tcPr>
                  <w:tcW w:w="2520" w:type="dxa"/>
                  <w:vAlign w:val="center"/>
                </w:tcPr>
                <w:p>
                  <w:pPr>
                    <w:jc w:val="center"/>
                    <w:rPr>
                      <w:color w:val="auto"/>
                      <w:szCs w:val="21"/>
                      <w:highlight w:val="none"/>
                    </w:rPr>
                  </w:pPr>
                  <w:r>
                    <w:rPr>
                      <w:rFonts w:hint="eastAsia"/>
                      <w:color w:val="auto"/>
                      <w:szCs w:val="21"/>
                      <w:highlight w:val="none"/>
                    </w:rPr>
                    <w:t>污染物平均排放浓度</w:t>
                  </w:r>
                </w:p>
              </w:tc>
              <w:tc>
                <w:tcPr>
                  <w:tcW w:w="2520" w:type="dxa"/>
                  <w:vAlign w:val="center"/>
                </w:tcPr>
                <w:p>
                  <w:pPr>
                    <w:jc w:val="center"/>
                    <w:rPr>
                      <w:color w:val="auto"/>
                      <w:szCs w:val="21"/>
                      <w:highlight w:val="none"/>
                    </w:rPr>
                  </w:pPr>
                  <w:r>
                    <w:rPr>
                      <w:rFonts w:hint="eastAsia"/>
                      <w:color w:val="auto"/>
                      <w:szCs w:val="21"/>
                      <w:highlight w:val="none"/>
                    </w:rPr>
                    <w:t>污染物平均排放速率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4" w:type="dxa"/>
                  <w:vAlign w:val="center"/>
                </w:tcPr>
                <w:p>
                  <w:pPr>
                    <w:jc w:val="center"/>
                    <w:rPr>
                      <w:color w:val="auto"/>
                      <w:szCs w:val="21"/>
                      <w:highlight w:val="none"/>
                    </w:rPr>
                  </w:pPr>
                  <w:r>
                    <w:rPr>
                      <w:rFonts w:hint="eastAsia"/>
                      <w:color w:val="auto"/>
                      <w:szCs w:val="21"/>
                      <w:highlight w:val="none"/>
                    </w:rPr>
                    <w:t>太仓一厂</w:t>
                  </w:r>
                </w:p>
              </w:tc>
              <w:tc>
                <w:tcPr>
                  <w:tcW w:w="1264" w:type="dxa"/>
                  <w:vAlign w:val="center"/>
                </w:tcPr>
                <w:p>
                  <w:pPr>
                    <w:jc w:val="center"/>
                    <w:rPr>
                      <w:color w:val="auto"/>
                      <w:szCs w:val="21"/>
                      <w:highlight w:val="none"/>
                    </w:rPr>
                  </w:pPr>
                  <w:r>
                    <w:rPr>
                      <w:rFonts w:hint="eastAsia"/>
                      <w:color w:val="auto"/>
                      <w:szCs w:val="21"/>
                      <w:highlight w:val="none"/>
                    </w:rPr>
                    <w:t>90%</w:t>
                  </w:r>
                </w:p>
              </w:tc>
              <w:tc>
                <w:tcPr>
                  <w:tcW w:w="1766" w:type="dxa"/>
                  <w:vAlign w:val="center"/>
                </w:tcPr>
                <w:p>
                  <w:pPr>
                    <w:jc w:val="center"/>
                    <w:rPr>
                      <w:color w:val="auto"/>
                      <w:szCs w:val="21"/>
                      <w:highlight w:val="none"/>
                    </w:rPr>
                  </w:pPr>
                  <w:r>
                    <w:rPr>
                      <w:rFonts w:hint="eastAsia"/>
                      <w:color w:val="auto"/>
                      <w:szCs w:val="21"/>
                      <w:highlight w:val="none"/>
                    </w:rPr>
                    <w:t>挥发性有机物</w:t>
                  </w:r>
                </w:p>
              </w:tc>
              <w:tc>
                <w:tcPr>
                  <w:tcW w:w="2520" w:type="dxa"/>
                  <w:vAlign w:val="center"/>
                </w:tcPr>
                <w:p>
                  <w:pPr>
                    <w:jc w:val="center"/>
                    <w:rPr>
                      <w:color w:val="auto"/>
                      <w:szCs w:val="21"/>
                      <w:highlight w:val="none"/>
                    </w:rPr>
                  </w:pPr>
                  <w:r>
                    <w:rPr>
                      <w:rFonts w:hint="eastAsia"/>
                      <w:color w:val="auto"/>
                      <w:szCs w:val="21"/>
                      <w:highlight w:val="none"/>
                    </w:rPr>
                    <w:t>0.055mg/m</w:t>
                  </w:r>
                  <w:r>
                    <w:rPr>
                      <w:rFonts w:hint="eastAsia"/>
                      <w:color w:val="auto"/>
                      <w:szCs w:val="21"/>
                      <w:highlight w:val="none"/>
                      <w:vertAlign w:val="superscript"/>
                    </w:rPr>
                    <w:t>3</w:t>
                  </w:r>
                </w:p>
              </w:tc>
              <w:tc>
                <w:tcPr>
                  <w:tcW w:w="2520" w:type="dxa"/>
                  <w:vAlign w:val="center"/>
                </w:tcPr>
                <w:p>
                  <w:pPr>
                    <w:jc w:val="center"/>
                    <w:rPr>
                      <w:color w:val="auto"/>
                      <w:szCs w:val="21"/>
                      <w:highlight w:val="none"/>
                    </w:rPr>
                  </w:pPr>
                  <w:r>
                    <w:rPr>
                      <w:rFonts w:hint="eastAsia"/>
                      <w:color w:val="auto"/>
                      <w:szCs w:val="21"/>
                      <w:highlight w:val="none"/>
                    </w:rPr>
                    <w:t>7.26×10</w:t>
                  </w:r>
                  <w:r>
                    <w:rPr>
                      <w:rFonts w:hint="eastAsia"/>
                      <w:color w:val="auto"/>
                      <w:szCs w:val="21"/>
                      <w:highlight w:val="none"/>
                      <w:vertAlign w:val="superscript"/>
                    </w:rPr>
                    <w:t>-6</w:t>
                  </w:r>
                  <w:r>
                    <w:rPr>
                      <w:rFonts w:hint="eastAsia"/>
                      <w:color w:val="auto"/>
                      <w:szCs w:val="21"/>
                      <w:highlight w:val="none"/>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264" w:type="dxa"/>
                  <w:vAlign w:val="center"/>
                </w:tcPr>
                <w:p>
                  <w:pPr>
                    <w:jc w:val="center"/>
                    <w:rPr>
                      <w:color w:val="auto"/>
                      <w:szCs w:val="21"/>
                      <w:highlight w:val="none"/>
                    </w:rPr>
                  </w:pPr>
                  <w:r>
                    <w:rPr>
                      <w:rFonts w:hint="eastAsia"/>
                      <w:color w:val="auto"/>
                      <w:szCs w:val="21"/>
                      <w:highlight w:val="none"/>
                    </w:rPr>
                    <w:t>太仓二厂</w:t>
                  </w:r>
                </w:p>
              </w:tc>
              <w:tc>
                <w:tcPr>
                  <w:tcW w:w="1264" w:type="dxa"/>
                  <w:vAlign w:val="center"/>
                </w:tcPr>
                <w:p>
                  <w:pPr>
                    <w:jc w:val="center"/>
                    <w:rPr>
                      <w:color w:val="auto"/>
                      <w:szCs w:val="21"/>
                      <w:highlight w:val="none"/>
                    </w:rPr>
                  </w:pPr>
                  <w:r>
                    <w:rPr>
                      <w:rFonts w:hint="eastAsia"/>
                      <w:color w:val="auto"/>
                      <w:szCs w:val="21"/>
                      <w:highlight w:val="none"/>
                    </w:rPr>
                    <w:t>90%</w:t>
                  </w:r>
                </w:p>
              </w:tc>
              <w:tc>
                <w:tcPr>
                  <w:tcW w:w="1766" w:type="dxa"/>
                  <w:vAlign w:val="center"/>
                </w:tcPr>
                <w:p>
                  <w:pPr>
                    <w:jc w:val="center"/>
                    <w:rPr>
                      <w:color w:val="auto"/>
                      <w:szCs w:val="21"/>
                      <w:highlight w:val="none"/>
                    </w:rPr>
                  </w:pPr>
                  <w:r>
                    <w:rPr>
                      <w:rFonts w:hint="eastAsia"/>
                      <w:color w:val="auto"/>
                      <w:szCs w:val="21"/>
                      <w:highlight w:val="none"/>
                    </w:rPr>
                    <w:t>挥发性有机物</w:t>
                  </w:r>
                </w:p>
              </w:tc>
              <w:tc>
                <w:tcPr>
                  <w:tcW w:w="2520" w:type="dxa"/>
                  <w:vAlign w:val="center"/>
                </w:tcPr>
                <w:p>
                  <w:pPr>
                    <w:jc w:val="center"/>
                    <w:rPr>
                      <w:color w:val="auto"/>
                      <w:szCs w:val="21"/>
                      <w:highlight w:val="none"/>
                    </w:rPr>
                  </w:pPr>
                  <w:r>
                    <w:rPr>
                      <w:rFonts w:hint="eastAsia"/>
                      <w:color w:val="auto"/>
                      <w:szCs w:val="21"/>
                      <w:highlight w:val="none"/>
                    </w:rPr>
                    <w:t>0.140mg/m</w:t>
                  </w:r>
                  <w:r>
                    <w:rPr>
                      <w:rFonts w:hint="eastAsia"/>
                      <w:color w:val="auto"/>
                      <w:szCs w:val="21"/>
                      <w:highlight w:val="none"/>
                      <w:vertAlign w:val="superscript"/>
                    </w:rPr>
                    <w:t>3</w:t>
                  </w:r>
                </w:p>
              </w:tc>
              <w:tc>
                <w:tcPr>
                  <w:tcW w:w="2520" w:type="dxa"/>
                  <w:vAlign w:val="center"/>
                </w:tcPr>
                <w:p>
                  <w:pPr>
                    <w:jc w:val="center"/>
                    <w:rPr>
                      <w:color w:val="auto"/>
                      <w:szCs w:val="21"/>
                      <w:highlight w:val="none"/>
                    </w:rPr>
                  </w:pPr>
                  <w:r>
                    <w:rPr>
                      <w:rFonts w:hint="eastAsia"/>
                      <w:color w:val="auto"/>
                      <w:szCs w:val="21"/>
                      <w:highlight w:val="none"/>
                    </w:rPr>
                    <w:t>6.76×10</w:t>
                  </w:r>
                  <w:r>
                    <w:rPr>
                      <w:rFonts w:hint="eastAsia"/>
                      <w:color w:val="auto"/>
                      <w:szCs w:val="21"/>
                      <w:highlight w:val="none"/>
                      <w:vertAlign w:val="superscript"/>
                    </w:rPr>
                    <w:t>-5</w:t>
                  </w:r>
                  <w:r>
                    <w:rPr>
                      <w:rFonts w:hint="eastAsia"/>
                      <w:color w:val="auto"/>
                      <w:szCs w:val="21"/>
                      <w:highlight w:val="none"/>
                    </w:rPr>
                    <w:t>kg/h</w:t>
                  </w:r>
                </w:p>
              </w:tc>
            </w:tr>
          </w:tbl>
          <w:p>
            <w:pPr>
              <w:spacing w:line="360" w:lineRule="auto"/>
              <w:ind w:firstLine="480" w:firstLineChars="200"/>
              <w:rPr>
                <w:color w:val="auto"/>
                <w:sz w:val="24"/>
                <w:highlight w:val="none"/>
              </w:rPr>
            </w:pPr>
            <w:r>
              <w:rPr>
                <w:rFonts w:hint="eastAsia"/>
                <w:color w:val="auto"/>
                <w:sz w:val="24"/>
                <w:highlight w:val="none"/>
              </w:rPr>
              <w:t>从表中数据可以看出，太仓一厂、二厂清洗废气中挥发性有机化合物排放浓度为0.055~0.140mg/m</w:t>
            </w:r>
            <w:r>
              <w:rPr>
                <w:rFonts w:hint="eastAsia"/>
                <w:color w:val="auto"/>
                <w:sz w:val="24"/>
                <w:highlight w:val="none"/>
                <w:vertAlign w:val="superscript"/>
              </w:rPr>
              <w:t>3</w:t>
            </w:r>
            <w:r>
              <w:rPr>
                <w:rFonts w:hint="eastAsia"/>
                <w:color w:val="auto"/>
                <w:sz w:val="24"/>
                <w:highlight w:val="none"/>
              </w:rPr>
              <w:t>，平均值为0.0975mg/m</w:t>
            </w:r>
            <w:r>
              <w:rPr>
                <w:rFonts w:hint="eastAsia"/>
                <w:color w:val="auto"/>
                <w:sz w:val="24"/>
                <w:highlight w:val="none"/>
                <w:vertAlign w:val="superscript"/>
              </w:rPr>
              <w:t>3</w:t>
            </w:r>
            <w:r>
              <w:rPr>
                <w:rFonts w:hint="eastAsia"/>
                <w:color w:val="auto"/>
                <w:sz w:val="24"/>
                <w:highlight w:val="none"/>
              </w:rPr>
              <w:t>；排放速率为7.26×10</w:t>
            </w:r>
            <w:r>
              <w:rPr>
                <w:rFonts w:hint="eastAsia"/>
                <w:color w:val="auto"/>
                <w:sz w:val="24"/>
                <w:highlight w:val="none"/>
                <w:vertAlign w:val="superscript"/>
              </w:rPr>
              <w:t>-6</w:t>
            </w:r>
            <w:r>
              <w:rPr>
                <w:rFonts w:hint="eastAsia"/>
                <w:color w:val="auto"/>
                <w:sz w:val="24"/>
                <w:highlight w:val="none"/>
              </w:rPr>
              <w:t>kg/h~6.76×10</w:t>
            </w:r>
            <w:r>
              <w:rPr>
                <w:rFonts w:hint="eastAsia"/>
                <w:color w:val="auto"/>
                <w:sz w:val="24"/>
                <w:highlight w:val="none"/>
                <w:vertAlign w:val="superscript"/>
              </w:rPr>
              <w:t>-5</w:t>
            </w:r>
            <w:r>
              <w:rPr>
                <w:rFonts w:hint="eastAsia"/>
                <w:color w:val="auto"/>
                <w:sz w:val="24"/>
                <w:highlight w:val="none"/>
              </w:rPr>
              <w:t>kg/h，平均值为3.74×10</w:t>
            </w:r>
            <w:r>
              <w:rPr>
                <w:rFonts w:hint="eastAsia"/>
                <w:color w:val="auto"/>
                <w:sz w:val="24"/>
                <w:highlight w:val="none"/>
                <w:vertAlign w:val="superscript"/>
              </w:rPr>
              <w:t>-5</w:t>
            </w:r>
            <w:r>
              <w:rPr>
                <w:rFonts w:hint="eastAsia"/>
                <w:color w:val="auto"/>
                <w:sz w:val="24"/>
                <w:highlight w:val="none"/>
              </w:rPr>
              <w:t>kg/h。本项目工件清洗工艺与同类工程舍弗勒（中国）有限公司太仓一厂~二厂清洗工艺相同，清洗废气中污染物排放浓度与同类工程相似，本项目取同类工程对应的平均值，即排放的挥发性有机化合物浓度为0.0975mg/m</w:t>
            </w:r>
            <w:r>
              <w:rPr>
                <w:rFonts w:hint="eastAsia"/>
                <w:color w:val="auto"/>
                <w:sz w:val="24"/>
                <w:highlight w:val="none"/>
                <w:vertAlign w:val="superscript"/>
              </w:rPr>
              <w:t>3</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根据建设方提供的资料，本项目需清洗工件量（3310万件）约为太仓工厂总量的83%，类比太仓工厂，本项目清洗废气中挥发性有机化合物排放速率为3.1×10</w:t>
            </w:r>
            <w:r>
              <w:rPr>
                <w:rFonts w:hint="eastAsia"/>
                <w:color w:val="auto"/>
                <w:sz w:val="24"/>
                <w:highlight w:val="none"/>
                <w:vertAlign w:val="superscript"/>
              </w:rPr>
              <w:t>-5</w:t>
            </w:r>
            <w:r>
              <w:rPr>
                <w:rFonts w:hint="eastAsia"/>
                <w:color w:val="auto"/>
                <w:sz w:val="24"/>
                <w:highlight w:val="none"/>
              </w:rPr>
              <w:t>kg/h。</w:t>
            </w:r>
          </w:p>
          <w:p>
            <w:pPr>
              <w:spacing w:line="360" w:lineRule="auto"/>
              <w:ind w:firstLine="504" w:firstLineChars="200"/>
              <w:rPr>
                <w:color w:val="auto"/>
                <w:spacing w:val="6"/>
                <w:sz w:val="24"/>
                <w:highlight w:val="none"/>
              </w:rPr>
            </w:pPr>
            <w:r>
              <w:rPr>
                <w:rFonts w:hint="eastAsia"/>
                <w:color w:val="auto"/>
                <w:spacing w:val="6"/>
                <w:sz w:val="24"/>
                <w:highlight w:val="none"/>
              </w:rPr>
              <w:t>（3）注塑废气</w:t>
            </w:r>
          </w:p>
          <w:p>
            <w:pPr>
              <w:spacing w:line="360" w:lineRule="auto"/>
              <w:ind w:firstLine="504" w:firstLineChars="200"/>
              <w:rPr>
                <w:color w:val="auto"/>
                <w:spacing w:val="6"/>
                <w:sz w:val="24"/>
                <w:highlight w:val="none"/>
              </w:rPr>
            </w:pPr>
            <w:r>
              <w:rPr>
                <w:rFonts w:hint="eastAsia"/>
                <w:color w:val="auto"/>
                <w:spacing w:val="6"/>
                <w:sz w:val="24"/>
                <w:highlight w:val="none"/>
              </w:rPr>
              <w:t>根据本报告</w:t>
            </w:r>
            <w:r>
              <w:rPr>
                <w:rFonts w:hint="eastAsia"/>
                <w:color w:val="auto"/>
                <w:sz w:val="24"/>
                <w:highlight w:val="none"/>
              </w:rPr>
              <w:t>5.1.2内容可知，张紧器、热管理模块注塑工序有注塑废气产生，主要污染物为挥发性有机化合物。</w:t>
            </w:r>
          </w:p>
          <w:p>
            <w:pPr>
              <w:spacing w:line="360" w:lineRule="auto"/>
              <w:ind w:firstLine="504" w:firstLineChars="200"/>
              <w:rPr>
                <w:color w:val="auto"/>
                <w:spacing w:val="6"/>
                <w:sz w:val="24"/>
                <w:highlight w:val="none"/>
              </w:rPr>
            </w:pPr>
            <w:r>
              <w:rPr>
                <w:rFonts w:hint="eastAsia"/>
                <w:color w:val="auto"/>
                <w:spacing w:val="6"/>
                <w:sz w:val="24"/>
                <w:highlight w:val="none"/>
              </w:rPr>
              <w:t>参考《空气污染物排放和控制手册》（美国国家环保局）中推荐的废气排放系数，塑料生产过程中此类有机物质的释放速率可取0.35kg/t。本项目仅将塑料熔融后挤压成型，无单体聚合工艺，参考同类型企业生产实践，本项目注塑过程中此类有机物质的释放速率较低，考虑按该排放系数的1/3取值，即为0.12kg/t。本项目PPS塑料粒子及PA66GF25塑料总用量为1729.6t/a，则预计释放的VOCs总量为0.207t/a，排放速率为0.087kg/h，在车间呈无组织排放。根据本报告7.2节内容预测数据可知，项目厂界无组织排放监控点VOCs浓度</w:t>
            </w:r>
            <w:r>
              <w:rPr>
                <w:rFonts w:hint="eastAsia"/>
                <w:color w:val="auto"/>
                <w:sz w:val="24"/>
                <w:highlight w:val="none"/>
              </w:rPr>
              <w:t>最大贡献值为0.00707mg/m</w:t>
            </w:r>
            <w:r>
              <w:rPr>
                <w:rFonts w:hint="eastAsia"/>
                <w:color w:val="auto"/>
                <w:sz w:val="24"/>
                <w:highlight w:val="none"/>
                <w:vertAlign w:val="superscript"/>
              </w:rPr>
              <w:t>3</w:t>
            </w:r>
            <w:r>
              <w:rPr>
                <w:rFonts w:hint="eastAsia"/>
                <w:color w:val="auto"/>
                <w:spacing w:val="6"/>
                <w:sz w:val="24"/>
                <w:highlight w:val="none"/>
              </w:rPr>
              <w:t>。</w:t>
            </w:r>
          </w:p>
          <w:p>
            <w:pPr>
              <w:spacing w:line="360" w:lineRule="auto"/>
              <w:ind w:firstLine="504" w:firstLineChars="200"/>
              <w:rPr>
                <w:color w:val="auto"/>
                <w:spacing w:val="6"/>
                <w:sz w:val="24"/>
                <w:highlight w:val="none"/>
              </w:rPr>
            </w:pPr>
            <w:r>
              <w:rPr>
                <w:rFonts w:hint="eastAsia"/>
                <w:color w:val="auto"/>
                <w:spacing w:val="6"/>
                <w:sz w:val="24"/>
                <w:highlight w:val="none"/>
              </w:rPr>
              <w:t>（4）油烟废气</w:t>
            </w:r>
          </w:p>
          <w:p>
            <w:pPr>
              <w:spacing w:line="360" w:lineRule="auto"/>
              <w:ind w:firstLine="480" w:firstLineChars="200"/>
              <w:rPr>
                <w:color w:val="auto"/>
                <w:sz w:val="24"/>
                <w:highlight w:val="none"/>
              </w:rPr>
            </w:pPr>
            <w:r>
              <w:rPr>
                <w:rFonts w:hint="eastAsia"/>
                <w:color w:val="auto"/>
                <w:sz w:val="24"/>
                <w:highlight w:val="none"/>
              </w:rPr>
              <w:t>项目厨房为员工提供餐饮及热水服务，供热能源为空压机回收热、屋面太阳能，辅助电加热。</w:t>
            </w:r>
          </w:p>
          <w:p>
            <w:pPr>
              <w:spacing w:line="360" w:lineRule="auto"/>
              <w:ind w:firstLine="480" w:firstLineChars="200"/>
              <w:rPr>
                <w:color w:val="auto"/>
                <w:sz w:val="24"/>
                <w:highlight w:val="none"/>
              </w:rPr>
            </w:pPr>
            <w:r>
              <w:rPr>
                <w:rFonts w:hint="eastAsia"/>
                <w:color w:val="auto"/>
                <w:sz w:val="24"/>
                <w:highlight w:val="none"/>
              </w:rPr>
              <w:t>食物在烹饪、加工过程中将挥发出油脂、有机质及热分解或裂解产物，从而产生油烟废气。</w:t>
            </w:r>
            <w:r>
              <w:rPr>
                <w:color w:val="auto"/>
                <w:sz w:val="24"/>
                <w:highlight w:val="none"/>
              </w:rPr>
              <w:t>国内统计资料表明，目前我国大部分地区居民人均日食用油用量约30g/人·d，本项目</w:t>
            </w:r>
            <w:r>
              <w:rPr>
                <w:rFonts w:hint="eastAsia"/>
                <w:color w:val="auto"/>
                <w:sz w:val="24"/>
                <w:highlight w:val="none"/>
              </w:rPr>
              <w:t>预计就餐人数为950人，每天就餐3次，</w:t>
            </w:r>
            <w:r>
              <w:rPr>
                <w:color w:val="auto"/>
                <w:sz w:val="24"/>
                <w:highlight w:val="none"/>
              </w:rPr>
              <w:t>则本项目日耗油量约为</w:t>
            </w:r>
            <w:r>
              <w:rPr>
                <w:rFonts w:hint="eastAsia"/>
                <w:color w:val="auto"/>
                <w:sz w:val="24"/>
                <w:highlight w:val="none"/>
              </w:rPr>
              <w:t>85.5</w:t>
            </w:r>
            <w:r>
              <w:rPr>
                <w:color w:val="auto"/>
                <w:sz w:val="24"/>
                <w:highlight w:val="none"/>
              </w:rPr>
              <w:t>kg。根据类比调查资料，一般餐饮油烟挥发量占总耗油量的2～4%，本次评价取油烟挥发量为</w:t>
            </w:r>
            <w:r>
              <w:rPr>
                <w:rFonts w:hint="eastAsia"/>
                <w:color w:val="auto"/>
                <w:sz w:val="24"/>
                <w:highlight w:val="none"/>
              </w:rPr>
              <w:t>3</w:t>
            </w:r>
            <w:r>
              <w:rPr>
                <w:color w:val="auto"/>
                <w:sz w:val="24"/>
                <w:highlight w:val="none"/>
              </w:rPr>
              <w:t>%，则本</w:t>
            </w:r>
            <w:r>
              <w:rPr>
                <w:rFonts w:hint="eastAsia"/>
                <w:color w:val="auto"/>
                <w:sz w:val="24"/>
                <w:highlight w:val="none"/>
              </w:rPr>
              <w:t>项目</w:t>
            </w:r>
            <w:r>
              <w:rPr>
                <w:color w:val="auto"/>
                <w:sz w:val="24"/>
                <w:highlight w:val="none"/>
              </w:rPr>
              <w:t>厨房油烟的日产生量约</w:t>
            </w:r>
            <w:r>
              <w:rPr>
                <w:rFonts w:hint="eastAsia"/>
                <w:color w:val="auto"/>
                <w:sz w:val="24"/>
                <w:highlight w:val="none"/>
              </w:rPr>
              <w:t>2.565</w:t>
            </w:r>
            <w:r>
              <w:rPr>
                <w:color w:val="auto"/>
                <w:sz w:val="24"/>
                <w:highlight w:val="none"/>
              </w:rPr>
              <w:t>kg，油烟的年产量约为</w:t>
            </w:r>
            <w:r>
              <w:rPr>
                <w:rFonts w:hint="eastAsia"/>
                <w:color w:val="auto"/>
                <w:sz w:val="24"/>
                <w:highlight w:val="none"/>
              </w:rPr>
              <w:t>0.77t</w:t>
            </w:r>
            <w:r>
              <w:rPr>
                <w:color w:val="auto"/>
                <w:sz w:val="24"/>
                <w:highlight w:val="none"/>
              </w:rPr>
              <w:t>。根据类比调查资料</w:t>
            </w:r>
            <w:r>
              <w:rPr>
                <w:rFonts w:hint="eastAsia"/>
                <w:color w:val="auto"/>
                <w:sz w:val="24"/>
                <w:highlight w:val="none"/>
              </w:rPr>
              <w:t>，本项目厨房</w:t>
            </w:r>
            <w:r>
              <w:rPr>
                <w:color w:val="auto"/>
                <w:sz w:val="24"/>
                <w:highlight w:val="none"/>
              </w:rPr>
              <w:t>油烟的产生浓度一般为</w:t>
            </w:r>
            <w:r>
              <w:rPr>
                <w:rFonts w:hint="eastAsia"/>
                <w:color w:val="auto"/>
                <w:sz w:val="24"/>
                <w:highlight w:val="none"/>
              </w:rPr>
              <w:t>10</w:t>
            </w:r>
            <w:r>
              <w:rPr>
                <w:color w:val="auto"/>
                <w:sz w:val="24"/>
                <w:highlight w:val="none"/>
              </w:rPr>
              <w:t>mg/m</w:t>
            </w:r>
            <w:r>
              <w:rPr>
                <w:color w:val="auto"/>
                <w:sz w:val="24"/>
                <w:highlight w:val="none"/>
                <w:vertAlign w:val="superscript"/>
              </w:rPr>
              <w:t>3</w:t>
            </w:r>
            <w:r>
              <w:rPr>
                <w:color w:val="auto"/>
                <w:sz w:val="24"/>
                <w:highlight w:val="none"/>
              </w:rPr>
              <w:t>。食堂油烟经油烟净化器处理后通过</w:t>
            </w:r>
            <w:r>
              <w:rPr>
                <w:rFonts w:hint="eastAsia"/>
                <w:color w:val="auto"/>
                <w:sz w:val="24"/>
                <w:highlight w:val="none"/>
              </w:rPr>
              <w:t>排烟通道</w:t>
            </w:r>
            <w:r>
              <w:rPr>
                <w:color w:val="auto"/>
                <w:sz w:val="24"/>
                <w:highlight w:val="none"/>
              </w:rPr>
              <w:t>排放</w:t>
            </w:r>
            <w:r>
              <w:rPr>
                <w:rFonts w:hint="eastAsia"/>
                <w:color w:val="auto"/>
                <w:sz w:val="24"/>
                <w:highlight w:val="none"/>
              </w:rPr>
              <w:t>，</w:t>
            </w:r>
            <w:r>
              <w:rPr>
                <w:color w:val="auto"/>
                <w:sz w:val="24"/>
                <w:highlight w:val="none"/>
              </w:rPr>
              <w:t>排放浓度为</w:t>
            </w:r>
            <w:r>
              <w:rPr>
                <w:rFonts w:hint="eastAsia"/>
                <w:color w:val="auto"/>
                <w:sz w:val="24"/>
                <w:highlight w:val="none"/>
              </w:rPr>
              <w:t>2</w:t>
            </w:r>
            <w:r>
              <w:rPr>
                <w:color w:val="auto"/>
                <w:sz w:val="24"/>
                <w:highlight w:val="none"/>
              </w:rPr>
              <w:t>mg/m</w:t>
            </w:r>
            <w:r>
              <w:rPr>
                <w:color w:val="auto"/>
                <w:sz w:val="24"/>
                <w:highlight w:val="none"/>
                <w:vertAlign w:val="superscript"/>
              </w:rPr>
              <w:t>3</w:t>
            </w:r>
            <w:r>
              <w:rPr>
                <w:rFonts w:hint="eastAsia"/>
                <w:color w:val="auto"/>
                <w:sz w:val="24"/>
                <w:highlight w:val="none"/>
              </w:rPr>
              <w:t>，</w:t>
            </w:r>
            <w:r>
              <w:rPr>
                <w:color w:val="auto"/>
                <w:sz w:val="24"/>
                <w:highlight w:val="none"/>
              </w:rPr>
              <w:t>排放量为</w:t>
            </w:r>
            <w:r>
              <w:rPr>
                <w:rFonts w:hint="eastAsia"/>
                <w:color w:val="auto"/>
                <w:sz w:val="24"/>
                <w:highlight w:val="none"/>
              </w:rPr>
              <w:t>0.154t/a。</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5.3.2 废水</w:t>
            </w:r>
          </w:p>
          <w:p>
            <w:pPr>
              <w:spacing w:line="360" w:lineRule="auto"/>
              <w:ind w:firstLine="504" w:firstLineChars="200"/>
              <w:rPr>
                <w:color w:val="auto"/>
                <w:spacing w:val="6"/>
                <w:sz w:val="24"/>
                <w:highlight w:val="none"/>
              </w:rPr>
            </w:pPr>
            <w:r>
              <w:rPr>
                <w:rFonts w:hint="eastAsia"/>
                <w:color w:val="auto"/>
                <w:spacing w:val="6"/>
                <w:sz w:val="24"/>
                <w:highlight w:val="none"/>
              </w:rPr>
              <w:t>（1）生产废水</w:t>
            </w:r>
          </w:p>
          <w:p>
            <w:pPr>
              <w:spacing w:line="360" w:lineRule="auto"/>
              <w:ind w:firstLine="504" w:firstLineChars="200"/>
              <w:rPr>
                <w:color w:val="auto"/>
                <w:spacing w:val="6"/>
                <w:sz w:val="24"/>
                <w:highlight w:val="none"/>
              </w:rPr>
            </w:pPr>
            <w:r>
              <w:rPr>
                <w:rFonts w:hint="eastAsia"/>
                <w:color w:val="auto"/>
                <w:spacing w:val="6"/>
                <w:sz w:val="24"/>
                <w:highlight w:val="none"/>
              </w:rPr>
              <w:t>①抛光、喷砂废水</w:t>
            </w:r>
          </w:p>
          <w:p>
            <w:pPr>
              <w:spacing w:line="360" w:lineRule="auto"/>
              <w:ind w:firstLine="504" w:firstLineChars="200"/>
              <w:rPr>
                <w:color w:val="auto"/>
                <w:spacing w:val="6"/>
                <w:sz w:val="24"/>
                <w:highlight w:val="none"/>
              </w:rPr>
            </w:pPr>
            <w:r>
              <w:rPr>
                <w:rFonts w:hint="eastAsia"/>
                <w:color w:val="auto"/>
                <w:spacing w:val="6"/>
                <w:sz w:val="24"/>
                <w:highlight w:val="none"/>
              </w:rPr>
              <w:t>根据建设方提供的资料，本项目清洗液均为外购，无需在厂区加水配制。项目工件</w:t>
            </w:r>
            <w:r>
              <w:rPr>
                <w:rFonts w:hint="eastAsia"/>
                <w:color w:val="auto"/>
                <w:sz w:val="24"/>
                <w:highlight w:val="none"/>
              </w:rPr>
              <w:t>抛光时加纯净水稀释抛光液。抛光废液定期排放，过滤回收研磨材料后，剩余的废水进入厂区污水处理系统。</w:t>
            </w:r>
            <w:r>
              <w:rPr>
                <w:rFonts w:hint="eastAsia"/>
                <w:color w:val="auto"/>
                <w:spacing w:val="6"/>
                <w:sz w:val="24"/>
                <w:highlight w:val="none"/>
              </w:rPr>
              <w:t>项目抛光喷砂废水主要污染物及浓度分别为SS：400mg/L、石油类：20mg/L。根据建设方提供的资料，</w:t>
            </w:r>
            <w:r>
              <w:rPr>
                <w:rFonts w:hint="eastAsia"/>
                <w:color w:val="auto"/>
                <w:sz w:val="24"/>
                <w:highlight w:val="none"/>
              </w:rPr>
              <w:t>本项目抛光、喷砂用水量约60m</w:t>
            </w:r>
            <w:r>
              <w:rPr>
                <w:rFonts w:hint="eastAsia"/>
                <w:color w:val="auto"/>
                <w:sz w:val="24"/>
                <w:highlight w:val="none"/>
                <w:vertAlign w:val="superscript"/>
              </w:rPr>
              <w:t>3</w:t>
            </w:r>
            <w:r>
              <w:rPr>
                <w:rFonts w:hint="eastAsia"/>
                <w:color w:val="auto"/>
                <w:sz w:val="24"/>
                <w:highlight w:val="none"/>
              </w:rPr>
              <w:t>/a</w:t>
            </w:r>
            <w:r>
              <w:rPr>
                <w:rFonts w:hint="eastAsia"/>
                <w:color w:val="auto"/>
                <w:spacing w:val="6"/>
                <w:sz w:val="24"/>
                <w:highlight w:val="none"/>
              </w:rPr>
              <w:t>，产污系数按90%计，则抛光、喷砂废水量为54m</w:t>
            </w:r>
            <w:r>
              <w:rPr>
                <w:rFonts w:hint="eastAsia"/>
                <w:color w:val="auto"/>
                <w:spacing w:val="6"/>
                <w:sz w:val="24"/>
                <w:highlight w:val="none"/>
                <w:vertAlign w:val="superscript"/>
              </w:rPr>
              <w:t>3</w:t>
            </w:r>
            <w:r>
              <w:rPr>
                <w:rFonts w:hint="eastAsia"/>
                <w:color w:val="auto"/>
                <w:spacing w:val="6"/>
                <w:sz w:val="24"/>
                <w:highlight w:val="none"/>
              </w:rPr>
              <w:t>/a。</w:t>
            </w:r>
          </w:p>
          <w:p>
            <w:pPr>
              <w:spacing w:line="360" w:lineRule="auto"/>
              <w:ind w:firstLine="504" w:firstLineChars="200"/>
              <w:rPr>
                <w:color w:val="auto"/>
                <w:spacing w:val="6"/>
                <w:sz w:val="24"/>
                <w:highlight w:val="none"/>
              </w:rPr>
            </w:pPr>
            <w:r>
              <w:rPr>
                <w:rFonts w:hint="eastAsia"/>
                <w:color w:val="auto"/>
                <w:spacing w:val="6"/>
                <w:sz w:val="24"/>
                <w:highlight w:val="none"/>
              </w:rPr>
              <w:t>②生产车间拖地废水</w:t>
            </w:r>
          </w:p>
          <w:p>
            <w:pPr>
              <w:spacing w:line="360" w:lineRule="auto"/>
              <w:ind w:firstLine="480" w:firstLineChars="200"/>
              <w:rPr>
                <w:color w:val="auto"/>
                <w:spacing w:val="6"/>
                <w:sz w:val="24"/>
                <w:highlight w:val="none"/>
              </w:rPr>
            </w:pPr>
            <w:r>
              <w:rPr>
                <w:rFonts w:hint="eastAsia"/>
                <w:bCs/>
                <w:color w:val="auto"/>
                <w:kern w:val="0"/>
                <w:sz w:val="24"/>
                <w:highlight w:val="none"/>
                <w:lang w:val="zh-CN"/>
              </w:rPr>
              <w:t>本项目生产车间占地面积26412.79m</w:t>
            </w:r>
            <w:r>
              <w:rPr>
                <w:rFonts w:hint="eastAsia"/>
                <w:bCs/>
                <w:color w:val="auto"/>
                <w:kern w:val="0"/>
                <w:sz w:val="24"/>
                <w:highlight w:val="none"/>
                <w:vertAlign w:val="superscript"/>
                <w:lang w:val="zh-CN"/>
              </w:rPr>
              <w:t>2</w:t>
            </w:r>
            <w:r>
              <w:rPr>
                <w:rFonts w:hint="eastAsia"/>
                <w:bCs/>
                <w:color w:val="auto"/>
                <w:kern w:val="0"/>
                <w:sz w:val="24"/>
                <w:highlight w:val="none"/>
                <w:lang w:val="zh-CN"/>
              </w:rPr>
              <w:t>，需要拖地的面积为总面积的40%，用水量按照0.2L/m</w:t>
            </w:r>
            <w:r>
              <w:rPr>
                <w:rFonts w:hint="eastAsia"/>
                <w:bCs/>
                <w:color w:val="auto"/>
                <w:kern w:val="0"/>
                <w:sz w:val="24"/>
                <w:highlight w:val="none"/>
                <w:vertAlign w:val="superscript"/>
                <w:lang w:val="zh-CN"/>
              </w:rPr>
              <w:t>2</w:t>
            </w:r>
            <w:r>
              <w:rPr>
                <w:rFonts w:hint="eastAsia"/>
                <w:bCs/>
                <w:color w:val="auto"/>
                <w:kern w:val="0"/>
                <w:sz w:val="24"/>
                <w:highlight w:val="none"/>
                <w:lang w:val="zh-CN"/>
              </w:rPr>
              <w:t>·d计算，则生产车间拖地用水量为2.1</w:t>
            </w:r>
            <w:r>
              <w:rPr>
                <w:rFonts w:hint="eastAsia"/>
                <w:color w:val="auto"/>
                <w:spacing w:val="6"/>
                <w:sz w:val="24"/>
                <w:highlight w:val="none"/>
              </w:rPr>
              <w:t>m</w:t>
            </w:r>
            <w:r>
              <w:rPr>
                <w:rFonts w:hint="eastAsia"/>
                <w:color w:val="auto"/>
                <w:spacing w:val="6"/>
                <w:sz w:val="24"/>
                <w:highlight w:val="none"/>
                <w:vertAlign w:val="superscript"/>
              </w:rPr>
              <w:t>3</w:t>
            </w:r>
            <w:r>
              <w:rPr>
                <w:rFonts w:hint="eastAsia"/>
                <w:color w:val="auto"/>
                <w:spacing w:val="6"/>
                <w:sz w:val="24"/>
                <w:highlight w:val="none"/>
              </w:rPr>
              <w:t>/d，产污系数按90%计，则车间拖地废水</w:t>
            </w:r>
            <w:r>
              <w:rPr>
                <w:rFonts w:hint="eastAsia"/>
                <w:bCs/>
                <w:color w:val="auto"/>
                <w:kern w:val="0"/>
                <w:sz w:val="24"/>
                <w:highlight w:val="none"/>
                <w:lang w:val="zh-CN"/>
              </w:rPr>
              <w:t>1.9</w:t>
            </w:r>
            <w:r>
              <w:rPr>
                <w:rFonts w:hint="eastAsia"/>
                <w:color w:val="auto"/>
                <w:spacing w:val="6"/>
                <w:sz w:val="24"/>
                <w:highlight w:val="none"/>
              </w:rPr>
              <w:t>m</w:t>
            </w:r>
            <w:r>
              <w:rPr>
                <w:rFonts w:hint="eastAsia"/>
                <w:color w:val="auto"/>
                <w:spacing w:val="6"/>
                <w:sz w:val="24"/>
                <w:highlight w:val="none"/>
                <w:vertAlign w:val="superscript"/>
              </w:rPr>
              <w:t>3</w:t>
            </w:r>
            <w:r>
              <w:rPr>
                <w:rFonts w:hint="eastAsia"/>
                <w:color w:val="auto"/>
                <w:spacing w:val="6"/>
                <w:sz w:val="24"/>
                <w:highlight w:val="none"/>
              </w:rPr>
              <w:t>/d（570m</w:t>
            </w:r>
            <w:r>
              <w:rPr>
                <w:rFonts w:hint="eastAsia"/>
                <w:color w:val="auto"/>
                <w:spacing w:val="6"/>
                <w:sz w:val="24"/>
                <w:highlight w:val="none"/>
                <w:vertAlign w:val="superscript"/>
              </w:rPr>
              <w:t>3</w:t>
            </w:r>
            <w:r>
              <w:rPr>
                <w:rFonts w:hint="eastAsia"/>
                <w:color w:val="auto"/>
                <w:spacing w:val="6"/>
                <w:sz w:val="24"/>
                <w:highlight w:val="none"/>
              </w:rPr>
              <w:t>/a），废水主要污染物及浓度分别为SS：400mg/L、石油类：20mg/L。</w:t>
            </w:r>
          </w:p>
          <w:p>
            <w:pPr>
              <w:spacing w:line="360" w:lineRule="auto"/>
              <w:ind w:firstLine="504" w:firstLineChars="200"/>
              <w:rPr>
                <w:color w:val="auto"/>
                <w:spacing w:val="6"/>
                <w:sz w:val="24"/>
                <w:highlight w:val="none"/>
              </w:rPr>
            </w:pPr>
            <w:r>
              <w:rPr>
                <w:rFonts w:hint="eastAsia"/>
                <w:color w:val="auto"/>
                <w:spacing w:val="6"/>
                <w:sz w:val="24"/>
                <w:highlight w:val="none"/>
              </w:rPr>
              <w:t>（2）生活废水</w:t>
            </w:r>
          </w:p>
          <w:p>
            <w:pPr>
              <w:spacing w:line="360" w:lineRule="auto"/>
              <w:ind w:firstLine="480" w:firstLineChars="200"/>
              <w:rPr>
                <w:bCs/>
                <w:color w:val="auto"/>
                <w:sz w:val="24"/>
                <w:highlight w:val="none"/>
              </w:rPr>
            </w:pPr>
            <w:r>
              <w:rPr>
                <w:rFonts w:hint="eastAsia"/>
                <w:bCs/>
                <w:color w:val="auto"/>
                <w:sz w:val="24"/>
                <w:highlight w:val="none"/>
              </w:rPr>
              <w:t>据建设方介绍，本项目劳动定员950人，全部在厂区就餐，无人住宿，其人均用水量为80L/人·d，则项目员工生活用水量为76m</w:t>
            </w:r>
            <w:r>
              <w:rPr>
                <w:rFonts w:hint="eastAsia"/>
                <w:bCs/>
                <w:color w:val="auto"/>
                <w:sz w:val="24"/>
                <w:highlight w:val="none"/>
                <w:vertAlign w:val="superscript"/>
              </w:rPr>
              <w:t>3</w:t>
            </w:r>
            <w:r>
              <w:rPr>
                <w:rFonts w:hint="eastAsia"/>
                <w:bCs/>
                <w:color w:val="auto"/>
                <w:sz w:val="24"/>
                <w:highlight w:val="none"/>
              </w:rPr>
              <w:t>/d，生活废水产生系数按0.8计，则员工生活废水产生量为60.8m</w:t>
            </w:r>
            <w:r>
              <w:rPr>
                <w:rFonts w:hint="eastAsia"/>
                <w:bCs/>
                <w:color w:val="auto"/>
                <w:sz w:val="24"/>
                <w:highlight w:val="none"/>
                <w:vertAlign w:val="superscript"/>
              </w:rPr>
              <w:t>3</w:t>
            </w:r>
            <w:r>
              <w:rPr>
                <w:rFonts w:hint="eastAsia"/>
                <w:bCs/>
                <w:color w:val="auto"/>
                <w:sz w:val="24"/>
                <w:highlight w:val="none"/>
              </w:rPr>
              <w:t>/d（18240m</w:t>
            </w:r>
            <w:r>
              <w:rPr>
                <w:rFonts w:hint="eastAsia"/>
                <w:bCs/>
                <w:color w:val="auto"/>
                <w:sz w:val="24"/>
                <w:highlight w:val="none"/>
                <w:vertAlign w:val="superscript"/>
              </w:rPr>
              <w:t>3</w:t>
            </w:r>
            <w:r>
              <w:rPr>
                <w:rFonts w:hint="eastAsia"/>
                <w:bCs/>
                <w:color w:val="auto"/>
                <w:sz w:val="24"/>
                <w:highlight w:val="none"/>
              </w:rPr>
              <w:t>/a）。类比湘潭市生活污水浓度，本环评取项目废水水质为：COD：250mg/L、BOD</w:t>
            </w:r>
            <w:r>
              <w:rPr>
                <w:rFonts w:hint="eastAsia"/>
                <w:bCs/>
                <w:color w:val="auto"/>
                <w:sz w:val="24"/>
                <w:highlight w:val="none"/>
                <w:vertAlign w:val="subscript"/>
              </w:rPr>
              <w:t>5</w:t>
            </w:r>
            <w:r>
              <w:rPr>
                <w:rFonts w:hint="eastAsia"/>
                <w:bCs/>
                <w:color w:val="auto"/>
                <w:sz w:val="24"/>
                <w:highlight w:val="none"/>
              </w:rPr>
              <w:t>：100mg/L、SS：100mg/L、NH</w:t>
            </w:r>
            <w:r>
              <w:rPr>
                <w:rFonts w:hint="eastAsia"/>
                <w:bCs/>
                <w:color w:val="auto"/>
                <w:sz w:val="24"/>
                <w:highlight w:val="none"/>
                <w:vertAlign w:val="subscript"/>
              </w:rPr>
              <w:t>3</w:t>
            </w:r>
            <w:r>
              <w:rPr>
                <w:rFonts w:hint="eastAsia"/>
                <w:bCs/>
                <w:color w:val="auto"/>
                <w:sz w:val="24"/>
                <w:highlight w:val="none"/>
              </w:rPr>
              <w:t>-N：30mg/L、动植物油：20mg/L。</w:t>
            </w:r>
          </w:p>
          <w:p>
            <w:pPr>
              <w:spacing w:line="360" w:lineRule="auto"/>
              <w:ind w:firstLine="480" w:firstLineChars="200"/>
              <w:rPr>
                <w:bCs/>
                <w:color w:val="auto"/>
                <w:sz w:val="24"/>
                <w:highlight w:val="none"/>
              </w:rPr>
            </w:pPr>
            <w:r>
              <w:rPr>
                <w:rFonts w:hint="eastAsia"/>
                <w:bCs/>
                <w:color w:val="auto"/>
                <w:sz w:val="24"/>
                <w:highlight w:val="none"/>
              </w:rPr>
              <w:t>项目生产过程中的抛光喷砂、车间拖地含油废水以及员工生活废水中的食堂含油污水经隔油池处理后，与其他生活废水进入化粪池处理，然后排入湘潭市九华污水处理厂处理达到《城镇污水处理厂污染物排放标准》（</w:t>
            </w:r>
            <w:r>
              <w:rPr>
                <w:bCs/>
                <w:color w:val="auto"/>
                <w:sz w:val="24"/>
                <w:highlight w:val="none"/>
              </w:rPr>
              <w:t>GB18918-2002</w:t>
            </w:r>
            <w:r>
              <w:rPr>
                <w:rFonts w:hint="eastAsia"/>
                <w:bCs/>
                <w:color w:val="auto"/>
                <w:sz w:val="24"/>
                <w:highlight w:val="none"/>
              </w:rPr>
              <w:t>）规定的一级</w:t>
            </w:r>
            <w:r>
              <w:rPr>
                <w:bCs/>
                <w:color w:val="auto"/>
                <w:sz w:val="24"/>
                <w:highlight w:val="none"/>
              </w:rPr>
              <w:t>A</w:t>
            </w:r>
            <w:r>
              <w:rPr>
                <w:rFonts w:hint="eastAsia"/>
                <w:bCs/>
                <w:color w:val="auto"/>
                <w:sz w:val="24"/>
                <w:highlight w:val="none"/>
              </w:rPr>
              <w:t>标准后最终汇入湘江。</w:t>
            </w:r>
          </w:p>
          <w:p>
            <w:pPr>
              <w:spacing w:line="360" w:lineRule="auto"/>
              <w:ind w:firstLine="504" w:firstLineChars="200"/>
              <w:rPr>
                <w:color w:val="auto"/>
                <w:spacing w:val="6"/>
                <w:sz w:val="24"/>
                <w:highlight w:val="none"/>
              </w:rPr>
            </w:pPr>
            <w:r>
              <w:rPr>
                <w:rFonts w:hint="eastAsia"/>
                <w:color w:val="auto"/>
                <w:spacing w:val="6"/>
                <w:sz w:val="24"/>
                <w:highlight w:val="none"/>
              </w:rPr>
              <w:t>项目营运期废水排放情况见下表5-9：</w:t>
            </w:r>
          </w:p>
          <w:p>
            <w:pPr>
              <w:snapToGrid w:val="0"/>
              <w:spacing w:line="360" w:lineRule="auto"/>
              <w:jc w:val="center"/>
              <w:rPr>
                <w:b/>
                <w:color w:val="auto"/>
                <w:sz w:val="24"/>
                <w:highlight w:val="none"/>
              </w:rPr>
            </w:pPr>
            <w:r>
              <w:rPr>
                <w:rFonts w:hint="eastAsia"/>
                <w:b/>
                <w:color w:val="auto"/>
                <w:sz w:val="24"/>
                <w:highlight w:val="none"/>
              </w:rPr>
              <w:t>表5-9  项目营运期废水排放情况一览表</w:t>
            </w:r>
          </w:p>
          <w:tbl>
            <w:tblPr>
              <w:tblStyle w:val="29"/>
              <w:tblW w:w="9334"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871"/>
              <w:gridCol w:w="2816"/>
              <w:gridCol w:w="1050"/>
              <w:gridCol w:w="709"/>
              <w:gridCol w:w="751"/>
              <w:gridCol w:w="546"/>
              <w:gridCol w:w="654"/>
              <w:gridCol w:w="1060"/>
              <w:gridCol w:w="87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3687" w:type="dxa"/>
                  <w:gridSpan w:val="2"/>
                  <w:vMerge w:val="restart"/>
                  <w:vAlign w:val="center"/>
                </w:tcPr>
                <w:p>
                  <w:pPr>
                    <w:adjustRightInd w:val="0"/>
                    <w:jc w:val="center"/>
                    <w:rPr>
                      <w:bCs/>
                      <w:color w:val="auto"/>
                      <w:kern w:val="0"/>
                      <w:szCs w:val="21"/>
                      <w:highlight w:val="none"/>
                      <w:lang w:val="zh-CN"/>
                    </w:rPr>
                  </w:pPr>
                  <w:r>
                    <w:rPr>
                      <w:bCs/>
                      <w:color w:val="auto"/>
                      <w:kern w:val="0"/>
                      <w:szCs w:val="21"/>
                      <w:highlight w:val="none"/>
                      <w:lang w:val="zh-CN"/>
                    </w:rPr>
                    <w:t>项目</w:t>
                  </w:r>
                </w:p>
              </w:tc>
              <w:tc>
                <w:tcPr>
                  <w:tcW w:w="1050" w:type="dxa"/>
                  <w:vMerge w:val="restart"/>
                  <w:vAlign w:val="center"/>
                </w:tcPr>
                <w:p>
                  <w:pPr>
                    <w:adjustRightInd w:val="0"/>
                    <w:jc w:val="center"/>
                    <w:rPr>
                      <w:bCs/>
                      <w:color w:val="auto"/>
                      <w:kern w:val="0"/>
                      <w:szCs w:val="21"/>
                      <w:highlight w:val="none"/>
                      <w:lang w:val="zh-CN"/>
                    </w:rPr>
                  </w:pPr>
                  <w:r>
                    <w:rPr>
                      <w:bCs/>
                      <w:color w:val="auto"/>
                      <w:kern w:val="0"/>
                      <w:szCs w:val="21"/>
                      <w:highlight w:val="none"/>
                      <w:lang w:val="zh-CN"/>
                    </w:rPr>
                    <w:t>废水量</w:t>
                  </w:r>
                </w:p>
                <w:p>
                  <w:pPr>
                    <w:adjustRightInd w:val="0"/>
                    <w:jc w:val="center"/>
                    <w:rPr>
                      <w:bCs/>
                      <w:color w:val="auto"/>
                      <w:kern w:val="0"/>
                      <w:szCs w:val="21"/>
                      <w:highlight w:val="none"/>
                      <w:lang w:val="zh-CN"/>
                    </w:rPr>
                  </w:pPr>
                  <w:r>
                    <w:rPr>
                      <w:rFonts w:hint="eastAsia"/>
                      <w:bCs/>
                      <w:color w:val="auto"/>
                      <w:kern w:val="0"/>
                      <w:szCs w:val="21"/>
                      <w:highlight w:val="none"/>
                      <w:lang w:val="zh-CN"/>
                    </w:rPr>
                    <w:t>（</w:t>
                  </w:r>
                  <w:r>
                    <w:rPr>
                      <w:bCs/>
                      <w:color w:val="auto"/>
                      <w:kern w:val="0"/>
                      <w:szCs w:val="21"/>
                      <w:highlight w:val="none"/>
                      <w:lang w:val="zh-CN"/>
                    </w:rPr>
                    <w:t>m</w:t>
                  </w:r>
                  <w:r>
                    <w:rPr>
                      <w:bCs/>
                      <w:color w:val="auto"/>
                      <w:kern w:val="0"/>
                      <w:szCs w:val="21"/>
                      <w:highlight w:val="none"/>
                      <w:vertAlign w:val="superscript"/>
                      <w:lang w:val="zh-CN"/>
                    </w:rPr>
                    <w:t>3</w:t>
                  </w:r>
                  <w:r>
                    <w:rPr>
                      <w:bCs/>
                      <w:color w:val="auto"/>
                      <w:kern w:val="0"/>
                      <w:szCs w:val="21"/>
                      <w:highlight w:val="none"/>
                      <w:lang w:val="zh-CN"/>
                    </w:rPr>
                    <w:t>/a</w:t>
                  </w:r>
                  <w:r>
                    <w:rPr>
                      <w:rFonts w:hint="eastAsia"/>
                      <w:bCs/>
                      <w:color w:val="auto"/>
                      <w:kern w:val="0"/>
                      <w:szCs w:val="21"/>
                      <w:highlight w:val="none"/>
                      <w:lang w:val="zh-CN"/>
                    </w:rPr>
                    <w:t>）</w:t>
                  </w:r>
                </w:p>
              </w:tc>
              <w:tc>
                <w:tcPr>
                  <w:tcW w:w="4597" w:type="dxa"/>
                  <w:gridSpan w:val="6"/>
                  <w:vAlign w:val="center"/>
                </w:tcPr>
                <w:p>
                  <w:pPr>
                    <w:adjustRightInd w:val="0"/>
                    <w:jc w:val="center"/>
                    <w:rPr>
                      <w:bCs/>
                      <w:color w:val="auto"/>
                      <w:kern w:val="0"/>
                      <w:szCs w:val="21"/>
                      <w:highlight w:val="none"/>
                      <w:lang w:val="zh-CN"/>
                    </w:rPr>
                  </w:pPr>
                  <w:r>
                    <w:rPr>
                      <w:bCs/>
                      <w:color w:val="auto"/>
                      <w:szCs w:val="21"/>
                      <w:highlight w:val="none"/>
                    </w:rPr>
                    <w:t>水质指标（单位：mg/L）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3687" w:type="dxa"/>
                  <w:gridSpan w:val="2"/>
                  <w:vMerge w:val="continue"/>
                  <w:vAlign w:val="center"/>
                </w:tcPr>
                <w:p>
                  <w:pPr>
                    <w:adjustRightInd w:val="0"/>
                    <w:jc w:val="center"/>
                    <w:rPr>
                      <w:bCs/>
                      <w:color w:val="auto"/>
                      <w:kern w:val="0"/>
                      <w:szCs w:val="21"/>
                      <w:highlight w:val="none"/>
                      <w:lang w:val="zh-CN"/>
                    </w:rPr>
                  </w:pPr>
                </w:p>
              </w:tc>
              <w:tc>
                <w:tcPr>
                  <w:tcW w:w="1050" w:type="dxa"/>
                  <w:vMerge w:val="continue"/>
                  <w:vAlign w:val="center"/>
                </w:tcPr>
                <w:p>
                  <w:pPr>
                    <w:adjustRightInd w:val="0"/>
                    <w:jc w:val="center"/>
                    <w:rPr>
                      <w:bCs/>
                      <w:color w:val="auto"/>
                      <w:kern w:val="0"/>
                      <w:szCs w:val="21"/>
                      <w:highlight w:val="none"/>
                      <w:lang w:val="zh-CN"/>
                    </w:rPr>
                  </w:pPr>
                </w:p>
              </w:tc>
              <w:tc>
                <w:tcPr>
                  <w:tcW w:w="709" w:type="dxa"/>
                  <w:vAlign w:val="center"/>
                </w:tcPr>
                <w:p>
                  <w:pPr>
                    <w:adjustRightInd w:val="0"/>
                    <w:jc w:val="center"/>
                    <w:rPr>
                      <w:bCs/>
                      <w:color w:val="auto"/>
                      <w:kern w:val="0"/>
                      <w:szCs w:val="21"/>
                      <w:highlight w:val="none"/>
                      <w:lang w:val="zh-CN"/>
                    </w:rPr>
                  </w:pPr>
                  <w:r>
                    <w:rPr>
                      <w:bCs/>
                      <w:color w:val="auto"/>
                      <w:szCs w:val="21"/>
                      <w:highlight w:val="none"/>
                    </w:rPr>
                    <w:t>COD</w:t>
                  </w:r>
                </w:p>
              </w:tc>
              <w:tc>
                <w:tcPr>
                  <w:tcW w:w="751" w:type="dxa"/>
                  <w:vAlign w:val="center"/>
                </w:tcPr>
                <w:p>
                  <w:pPr>
                    <w:adjustRightInd w:val="0"/>
                    <w:jc w:val="center"/>
                    <w:rPr>
                      <w:bCs/>
                      <w:color w:val="auto"/>
                      <w:kern w:val="0"/>
                      <w:szCs w:val="21"/>
                      <w:highlight w:val="none"/>
                      <w:lang w:val="zh-CN"/>
                    </w:rPr>
                  </w:pPr>
                  <w:r>
                    <w:rPr>
                      <w:bCs/>
                      <w:color w:val="auto"/>
                      <w:szCs w:val="21"/>
                      <w:highlight w:val="none"/>
                    </w:rPr>
                    <w:t>BOD</w:t>
                  </w:r>
                  <w:r>
                    <w:rPr>
                      <w:bCs/>
                      <w:color w:val="auto"/>
                      <w:szCs w:val="21"/>
                      <w:highlight w:val="none"/>
                      <w:vertAlign w:val="subscript"/>
                    </w:rPr>
                    <w:t>5</w:t>
                  </w:r>
                </w:p>
              </w:tc>
              <w:tc>
                <w:tcPr>
                  <w:tcW w:w="546" w:type="dxa"/>
                  <w:vAlign w:val="center"/>
                </w:tcPr>
                <w:p>
                  <w:pPr>
                    <w:adjustRightInd w:val="0"/>
                    <w:jc w:val="center"/>
                    <w:rPr>
                      <w:bCs/>
                      <w:color w:val="auto"/>
                      <w:kern w:val="0"/>
                      <w:szCs w:val="21"/>
                      <w:highlight w:val="none"/>
                      <w:lang w:val="zh-CN"/>
                    </w:rPr>
                  </w:pPr>
                  <w:r>
                    <w:rPr>
                      <w:bCs/>
                      <w:color w:val="auto"/>
                      <w:szCs w:val="21"/>
                      <w:highlight w:val="none"/>
                    </w:rPr>
                    <w:t>SS</w:t>
                  </w:r>
                </w:p>
              </w:tc>
              <w:tc>
                <w:tcPr>
                  <w:tcW w:w="654" w:type="dxa"/>
                  <w:vAlign w:val="center"/>
                </w:tcPr>
                <w:p>
                  <w:pPr>
                    <w:adjustRightInd w:val="0"/>
                    <w:jc w:val="center"/>
                    <w:rPr>
                      <w:bCs/>
                      <w:color w:val="auto"/>
                      <w:kern w:val="0"/>
                      <w:szCs w:val="21"/>
                      <w:highlight w:val="none"/>
                      <w:lang w:val="zh-CN"/>
                    </w:rPr>
                  </w:pPr>
                  <w:r>
                    <w:rPr>
                      <w:bCs/>
                      <w:color w:val="auto"/>
                      <w:szCs w:val="21"/>
                      <w:highlight w:val="none"/>
                    </w:rPr>
                    <w:t>氨氮</w:t>
                  </w:r>
                </w:p>
              </w:tc>
              <w:tc>
                <w:tcPr>
                  <w:tcW w:w="1060" w:type="dxa"/>
                  <w:vAlign w:val="center"/>
                </w:tcPr>
                <w:p>
                  <w:pPr>
                    <w:adjustRightInd w:val="0"/>
                    <w:jc w:val="center"/>
                    <w:rPr>
                      <w:bCs/>
                      <w:color w:val="auto"/>
                      <w:kern w:val="0"/>
                      <w:szCs w:val="21"/>
                      <w:highlight w:val="none"/>
                      <w:lang w:val="zh-CN"/>
                    </w:rPr>
                  </w:pPr>
                  <w:r>
                    <w:rPr>
                      <w:rFonts w:hint="eastAsia"/>
                      <w:bCs/>
                      <w:color w:val="auto"/>
                      <w:szCs w:val="21"/>
                      <w:highlight w:val="none"/>
                    </w:rPr>
                    <w:t>动植物油</w:t>
                  </w:r>
                </w:p>
              </w:tc>
              <w:tc>
                <w:tcPr>
                  <w:tcW w:w="877"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石油类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871" w:type="dxa"/>
                  <w:vMerge w:val="restart"/>
                  <w:vAlign w:val="center"/>
                </w:tcPr>
                <w:p>
                  <w:pPr>
                    <w:adjustRightInd w:val="0"/>
                    <w:jc w:val="center"/>
                    <w:rPr>
                      <w:bCs/>
                      <w:color w:val="auto"/>
                      <w:kern w:val="0"/>
                      <w:szCs w:val="21"/>
                      <w:highlight w:val="none"/>
                      <w:lang w:val="zh-CN"/>
                    </w:rPr>
                  </w:pPr>
                  <w:r>
                    <w:rPr>
                      <w:bCs/>
                      <w:color w:val="auto"/>
                      <w:kern w:val="0"/>
                      <w:szCs w:val="21"/>
                      <w:highlight w:val="none"/>
                      <w:lang w:val="zh-CN"/>
                    </w:rPr>
                    <w:t>废水产</w:t>
                  </w:r>
                </w:p>
                <w:p>
                  <w:pPr>
                    <w:adjustRightInd w:val="0"/>
                    <w:jc w:val="center"/>
                    <w:rPr>
                      <w:bCs/>
                      <w:color w:val="auto"/>
                      <w:kern w:val="0"/>
                      <w:szCs w:val="21"/>
                      <w:highlight w:val="none"/>
                      <w:lang w:val="zh-CN"/>
                    </w:rPr>
                  </w:pPr>
                  <w:r>
                    <w:rPr>
                      <w:bCs/>
                      <w:color w:val="auto"/>
                      <w:kern w:val="0"/>
                      <w:szCs w:val="21"/>
                      <w:highlight w:val="none"/>
                      <w:lang w:val="zh-CN"/>
                    </w:rPr>
                    <w:t>生情况</w:t>
                  </w:r>
                </w:p>
              </w:tc>
              <w:tc>
                <w:tcPr>
                  <w:tcW w:w="2816"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员工生活废水</w:t>
                  </w:r>
                </w:p>
              </w:tc>
              <w:tc>
                <w:tcPr>
                  <w:tcW w:w="1050"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18240</w:t>
                  </w:r>
                </w:p>
              </w:tc>
              <w:tc>
                <w:tcPr>
                  <w:tcW w:w="709" w:type="dxa"/>
                  <w:vAlign w:val="center"/>
                </w:tcPr>
                <w:p>
                  <w:pPr>
                    <w:adjustRightInd w:val="0"/>
                    <w:jc w:val="center"/>
                    <w:rPr>
                      <w:bCs/>
                      <w:color w:val="auto"/>
                      <w:szCs w:val="21"/>
                      <w:highlight w:val="none"/>
                    </w:rPr>
                  </w:pPr>
                  <w:r>
                    <w:rPr>
                      <w:rFonts w:hint="eastAsia"/>
                      <w:bCs/>
                      <w:color w:val="auto"/>
                      <w:szCs w:val="21"/>
                      <w:highlight w:val="none"/>
                    </w:rPr>
                    <w:t>250</w:t>
                  </w:r>
                </w:p>
              </w:tc>
              <w:tc>
                <w:tcPr>
                  <w:tcW w:w="751" w:type="dxa"/>
                  <w:vAlign w:val="center"/>
                </w:tcPr>
                <w:p>
                  <w:pPr>
                    <w:adjustRightInd w:val="0"/>
                    <w:jc w:val="center"/>
                    <w:rPr>
                      <w:bCs/>
                      <w:color w:val="auto"/>
                      <w:szCs w:val="21"/>
                      <w:highlight w:val="none"/>
                    </w:rPr>
                  </w:pPr>
                  <w:r>
                    <w:rPr>
                      <w:rFonts w:hint="eastAsia"/>
                      <w:bCs/>
                      <w:color w:val="auto"/>
                      <w:szCs w:val="21"/>
                      <w:highlight w:val="none"/>
                    </w:rPr>
                    <w:t>100</w:t>
                  </w:r>
                </w:p>
              </w:tc>
              <w:tc>
                <w:tcPr>
                  <w:tcW w:w="546" w:type="dxa"/>
                  <w:vAlign w:val="center"/>
                </w:tcPr>
                <w:p>
                  <w:pPr>
                    <w:adjustRightInd w:val="0"/>
                    <w:jc w:val="center"/>
                    <w:rPr>
                      <w:bCs/>
                      <w:color w:val="auto"/>
                      <w:szCs w:val="21"/>
                      <w:highlight w:val="none"/>
                    </w:rPr>
                  </w:pPr>
                  <w:r>
                    <w:rPr>
                      <w:rFonts w:hint="eastAsia"/>
                      <w:bCs/>
                      <w:color w:val="auto"/>
                      <w:szCs w:val="21"/>
                      <w:highlight w:val="none"/>
                    </w:rPr>
                    <w:t>100</w:t>
                  </w:r>
                </w:p>
              </w:tc>
              <w:tc>
                <w:tcPr>
                  <w:tcW w:w="654" w:type="dxa"/>
                  <w:vAlign w:val="center"/>
                </w:tcPr>
                <w:p>
                  <w:pPr>
                    <w:adjustRightInd w:val="0"/>
                    <w:jc w:val="center"/>
                    <w:rPr>
                      <w:bCs/>
                      <w:color w:val="auto"/>
                      <w:szCs w:val="21"/>
                      <w:highlight w:val="none"/>
                    </w:rPr>
                  </w:pPr>
                  <w:r>
                    <w:rPr>
                      <w:rFonts w:hint="eastAsia"/>
                      <w:bCs/>
                      <w:color w:val="auto"/>
                      <w:szCs w:val="21"/>
                      <w:highlight w:val="none"/>
                    </w:rPr>
                    <w:t>30</w:t>
                  </w:r>
                </w:p>
              </w:tc>
              <w:tc>
                <w:tcPr>
                  <w:tcW w:w="1060" w:type="dxa"/>
                  <w:vAlign w:val="center"/>
                </w:tcPr>
                <w:p>
                  <w:pPr>
                    <w:adjustRightInd w:val="0"/>
                    <w:jc w:val="center"/>
                    <w:rPr>
                      <w:bCs/>
                      <w:color w:val="auto"/>
                      <w:szCs w:val="21"/>
                      <w:highlight w:val="none"/>
                    </w:rPr>
                  </w:pPr>
                  <w:r>
                    <w:rPr>
                      <w:rFonts w:hint="eastAsia"/>
                      <w:bCs/>
                      <w:color w:val="auto"/>
                      <w:szCs w:val="21"/>
                      <w:highlight w:val="none"/>
                    </w:rPr>
                    <w:t>20</w:t>
                  </w:r>
                </w:p>
              </w:tc>
              <w:tc>
                <w:tcPr>
                  <w:tcW w:w="877" w:type="dxa"/>
                  <w:vAlign w:val="center"/>
                </w:tcPr>
                <w:p>
                  <w:pPr>
                    <w:adjustRightInd w:val="0"/>
                    <w:jc w:val="center"/>
                    <w:rPr>
                      <w:bCs/>
                      <w:color w:val="auto"/>
                      <w:szCs w:val="21"/>
                      <w:highlight w:val="none"/>
                    </w:rPr>
                  </w:pPr>
                  <w:r>
                    <w:rPr>
                      <w:rFonts w:hint="eastAsia"/>
                      <w:bCs/>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871" w:type="dxa"/>
                  <w:vMerge w:val="continue"/>
                  <w:vAlign w:val="center"/>
                </w:tcPr>
                <w:p>
                  <w:pPr>
                    <w:adjustRightInd w:val="0"/>
                    <w:jc w:val="center"/>
                    <w:rPr>
                      <w:bCs/>
                      <w:color w:val="auto"/>
                      <w:kern w:val="0"/>
                      <w:szCs w:val="21"/>
                      <w:highlight w:val="none"/>
                      <w:lang w:val="zh-CN"/>
                    </w:rPr>
                  </w:pPr>
                </w:p>
              </w:tc>
              <w:tc>
                <w:tcPr>
                  <w:tcW w:w="2816"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生产车间拖地废水</w:t>
                  </w:r>
                </w:p>
              </w:tc>
              <w:tc>
                <w:tcPr>
                  <w:tcW w:w="1050"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570</w:t>
                  </w:r>
                </w:p>
              </w:tc>
              <w:tc>
                <w:tcPr>
                  <w:tcW w:w="709" w:type="dxa"/>
                  <w:vAlign w:val="center"/>
                </w:tcPr>
                <w:p>
                  <w:pPr>
                    <w:adjustRightInd w:val="0"/>
                    <w:jc w:val="center"/>
                    <w:rPr>
                      <w:bCs/>
                      <w:color w:val="auto"/>
                      <w:szCs w:val="21"/>
                      <w:highlight w:val="none"/>
                    </w:rPr>
                  </w:pPr>
                </w:p>
              </w:tc>
              <w:tc>
                <w:tcPr>
                  <w:tcW w:w="751" w:type="dxa"/>
                  <w:vAlign w:val="center"/>
                </w:tcPr>
                <w:p>
                  <w:pPr>
                    <w:adjustRightInd w:val="0"/>
                    <w:jc w:val="center"/>
                    <w:rPr>
                      <w:bCs/>
                      <w:color w:val="auto"/>
                      <w:szCs w:val="21"/>
                      <w:highlight w:val="none"/>
                    </w:rPr>
                  </w:pPr>
                </w:p>
              </w:tc>
              <w:tc>
                <w:tcPr>
                  <w:tcW w:w="546" w:type="dxa"/>
                  <w:vAlign w:val="center"/>
                </w:tcPr>
                <w:p>
                  <w:pPr>
                    <w:adjustRightInd w:val="0"/>
                    <w:jc w:val="center"/>
                    <w:rPr>
                      <w:bCs/>
                      <w:color w:val="auto"/>
                      <w:szCs w:val="21"/>
                      <w:highlight w:val="none"/>
                    </w:rPr>
                  </w:pPr>
                  <w:r>
                    <w:rPr>
                      <w:rFonts w:hint="eastAsia"/>
                      <w:bCs/>
                      <w:color w:val="auto"/>
                      <w:szCs w:val="21"/>
                      <w:highlight w:val="none"/>
                    </w:rPr>
                    <w:t>400</w:t>
                  </w:r>
                </w:p>
              </w:tc>
              <w:tc>
                <w:tcPr>
                  <w:tcW w:w="654" w:type="dxa"/>
                  <w:vAlign w:val="center"/>
                </w:tcPr>
                <w:p>
                  <w:pPr>
                    <w:adjustRightInd w:val="0"/>
                    <w:jc w:val="center"/>
                    <w:rPr>
                      <w:bCs/>
                      <w:color w:val="auto"/>
                      <w:szCs w:val="21"/>
                      <w:highlight w:val="none"/>
                    </w:rPr>
                  </w:pPr>
                </w:p>
              </w:tc>
              <w:tc>
                <w:tcPr>
                  <w:tcW w:w="1060" w:type="dxa"/>
                  <w:vAlign w:val="center"/>
                </w:tcPr>
                <w:p>
                  <w:pPr>
                    <w:adjustRightInd w:val="0"/>
                    <w:jc w:val="center"/>
                    <w:rPr>
                      <w:bCs/>
                      <w:color w:val="auto"/>
                      <w:szCs w:val="21"/>
                      <w:highlight w:val="none"/>
                    </w:rPr>
                  </w:pPr>
                </w:p>
              </w:tc>
              <w:tc>
                <w:tcPr>
                  <w:tcW w:w="877" w:type="dxa"/>
                  <w:vAlign w:val="center"/>
                </w:tcPr>
                <w:p>
                  <w:pPr>
                    <w:adjustRightInd w:val="0"/>
                    <w:jc w:val="center"/>
                    <w:rPr>
                      <w:bCs/>
                      <w:color w:val="auto"/>
                      <w:szCs w:val="21"/>
                      <w:highlight w:val="none"/>
                    </w:rPr>
                  </w:pPr>
                  <w:r>
                    <w:rPr>
                      <w:rFonts w:hint="eastAsia"/>
                      <w:bCs/>
                      <w:color w:val="auto"/>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871" w:type="dxa"/>
                  <w:vMerge w:val="continue"/>
                  <w:vAlign w:val="center"/>
                </w:tcPr>
                <w:p>
                  <w:pPr>
                    <w:adjustRightInd w:val="0"/>
                    <w:jc w:val="center"/>
                    <w:rPr>
                      <w:bCs/>
                      <w:color w:val="auto"/>
                      <w:kern w:val="0"/>
                      <w:szCs w:val="21"/>
                      <w:highlight w:val="none"/>
                      <w:lang w:val="zh-CN"/>
                    </w:rPr>
                  </w:pPr>
                </w:p>
              </w:tc>
              <w:tc>
                <w:tcPr>
                  <w:tcW w:w="2816"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抛光喷砂废水</w:t>
                  </w:r>
                </w:p>
              </w:tc>
              <w:tc>
                <w:tcPr>
                  <w:tcW w:w="1050" w:type="dxa"/>
                  <w:vAlign w:val="center"/>
                </w:tcPr>
                <w:p>
                  <w:pPr>
                    <w:adjustRightInd w:val="0"/>
                    <w:jc w:val="center"/>
                    <w:rPr>
                      <w:bCs/>
                      <w:color w:val="auto"/>
                      <w:kern w:val="0"/>
                      <w:szCs w:val="21"/>
                      <w:highlight w:val="none"/>
                      <w:lang w:val="zh-CN"/>
                    </w:rPr>
                  </w:pPr>
                  <w:r>
                    <w:rPr>
                      <w:rFonts w:hint="eastAsia"/>
                      <w:bCs/>
                      <w:color w:val="auto"/>
                      <w:kern w:val="0"/>
                      <w:szCs w:val="21"/>
                      <w:highlight w:val="none"/>
                    </w:rPr>
                    <w:t>54</w:t>
                  </w:r>
                </w:p>
              </w:tc>
              <w:tc>
                <w:tcPr>
                  <w:tcW w:w="709" w:type="dxa"/>
                  <w:vAlign w:val="center"/>
                </w:tcPr>
                <w:p>
                  <w:pPr>
                    <w:adjustRightInd w:val="0"/>
                    <w:jc w:val="center"/>
                    <w:rPr>
                      <w:bCs/>
                      <w:color w:val="auto"/>
                      <w:szCs w:val="21"/>
                      <w:highlight w:val="none"/>
                    </w:rPr>
                  </w:pPr>
                  <w:r>
                    <w:rPr>
                      <w:rFonts w:hint="eastAsia"/>
                      <w:bCs/>
                      <w:color w:val="auto"/>
                      <w:szCs w:val="21"/>
                      <w:highlight w:val="none"/>
                    </w:rPr>
                    <w:t>/</w:t>
                  </w:r>
                </w:p>
              </w:tc>
              <w:tc>
                <w:tcPr>
                  <w:tcW w:w="751" w:type="dxa"/>
                  <w:vAlign w:val="center"/>
                </w:tcPr>
                <w:p>
                  <w:pPr>
                    <w:adjustRightInd w:val="0"/>
                    <w:jc w:val="center"/>
                    <w:rPr>
                      <w:bCs/>
                      <w:color w:val="auto"/>
                      <w:szCs w:val="21"/>
                      <w:highlight w:val="none"/>
                    </w:rPr>
                  </w:pPr>
                  <w:r>
                    <w:rPr>
                      <w:rFonts w:hint="eastAsia"/>
                      <w:bCs/>
                      <w:color w:val="auto"/>
                      <w:szCs w:val="21"/>
                      <w:highlight w:val="none"/>
                    </w:rPr>
                    <w:t>/</w:t>
                  </w:r>
                </w:p>
              </w:tc>
              <w:tc>
                <w:tcPr>
                  <w:tcW w:w="546" w:type="dxa"/>
                  <w:vAlign w:val="center"/>
                </w:tcPr>
                <w:p>
                  <w:pPr>
                    <w:adjustRightInd w:val="0"/>
                    <w:jc w:val="center"/>
                    <w:rPr>
                      <w:bCs/>
                      <w:color w:val="auto"/>
                      <w:szCs w:val="21"/>
                      <w:highlight w:val="none"/>
                    </w:rPr>
                  </w:pPr>
                  <w:r>
                    <w:rPr>
                      <w:rFonts w:hint="eastAsia"/>
                      <w:bCs/>
                      <w:color w:val="auto"/>
                      <w:szCs w:val="21"/>
                      <w:highlight w:val="none"/>
                    </w:rPr>
                    <w:t>400</w:t>
                  </w:r>
                </w:p>
              </w:tc>
              <w:tc>
                <w:tcPr>
                  <w:tcW w:w="654" w:type="dxa"/>
                  <w:vAlign w:val="center"/>
                </w:tcPr>
                <w:p>
                  <w:pPr>
                    <w:adjustRightInd w:val="0"/>
                    <w:jc w:val="center"/>
                    <w:rPr>
                      <w:bCs/>
                      <w:color w:val="auto"/>
                      <w:szCs w:val="21"/>
                      <w:highlight w:val="none"/>
                    </w:rPr>
                  </w:pPr>
                  <w:r>
                    <w:rPr>
                      <w:rFonts w:hint="eastAsia"/>
                      <w:bCs/>
                      <w:color w:val="auto"/>
                      <w:szCs w:val="21"/>
                      <w:highlight w:val="none"/>
                    </w:rPr>
                    <w:t>/</w:t>
                  </w:r>
                </w:p>
              </w:tc>
              <w:tc>
                <w:tcPr>
                  <w:tcW w:w="1060" w:type="dxa"/>
                  <w:vAlign w:val="center"/>
                </w:tcPr>
                <w:p>
                  <w:pPr>
                    <w:adjustRightInd w:val="0"/>
                    <w:jc w:val="center"/>
                    <w:rPr>
                      <w:bCs/>
                      <w:color w:val="auto"/>
                      <w:szCs w:val="21"/>
                      <w:highlight w:val="none"/>
                    </w:rPr>
                  </w:pPr>
                  <w:r>
                    <w:rPr>
                      <w:rFonts w:hint="eastAsia"/>
                      <w:bCs/>
                      <w:color w:val="auto"/>
                      <w:szCs w:val="21"/>
                      <w:highlight w:val="none"/>
                    </w:rPr>
                    <w:t>/</w:t>
                  </w:r>
                </w:p>
              </w:tc>
              <w:tc>
                <w:tcPr>
                  <w:tcW w:w="877" w:type="dxa"/>
                  <w:vAlign w:val="center"/>
                </w:tcPr>
                <w:p>
                  <w:pPr>
                    <w:adjustRightInd w:val="0"/>
                    <w:jc w:val="center"/>
                    <w:rPr>
                      <w:bCs/>
                      <w:color w:val="auto"/>
                      <w:kern w:val="0"/>
                      <w:szCs w:val="21"/>
                      <w:highlight w:val="none"/>
                      <w:lang w:val="zh-CN"/>
                    </w:rPr>
                  </w:pPr>
                  <w:r>
                    <w:rPr>
                      <w:rFonts w:hint="eastAsia"/>
                      <w:bCs/>
                      <w:color w:val="auto"/>
                      <w:szCs w:val="21"/>
                      <w:highlight w:val="none"/>
                    </w:rPr>
                    <w:t>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871" w:type="dxa"/>
                  <w:vMerge w:val="continue"/>
                  <w:vAlign w:val="center"/>
                </w:tcPr>
                <w:p>
                  <w:pPr>
                    <w:adjustRightInd w:val="0"/>
                    <w:jc w:val="center"/>
                    <w:rPr>
                      <w:bCs/>
                      <w:color w:val="auto"/>
                      <w:kern w:val="0"/>
                      <w:szCs w:val="21"/>
                      <w:highlight w:val="none"/>
                      <w:lang w:val="zh-CN"/>
                    </w:rPr>
                  </w:pPr>
                </w:p>
              </w:tc>
              <w:tc>
                <w:tcPr>
                  <w:tcW w:w="2816" w:type="dxa"/>
                  <w:vAlign w:val="center"/>
                </w:tcPr>
                <w:p>
                  <w:pPr>
                    <w:adjustRightInd w:val="0"/>
                    <w:jc w:val="center"/>
                    <w:rPr>
                      <w:bCs/>
                      <w:color w:val="auto"/>
                      <w:kern w:val="0"/>
                      <w:szCs w:val="21"/>
                      <w:highlight w:val="none"/>
                      <w:lang w:val="zh-CN"/>
                    </w:rPr>
                  </w:pPr>
                  <w:r>
                    <w:rPr>
                      <w:bCs/>
                      <w:color w:val="auto"/>
                      <w:kern w:val="0"/>
                      <w:szCs w:val="21"/>
                      <w:highlight w:val="none"/>
                      <w:lang w:val="zh-CN"/>
                    </w:rPr>
                    <w:t>合计</w:t>
                  </w:r>
                </w:p>
              </w:tc>
              <w:tc>
                <w:tcPr>
                  <w:tcW w:w="1050"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18864</w:t>
                  </w:r>
                </w:p>
              </w:tc>
              <w:tc>
                <w:tcPr>
                  <w:tcW w:w="709" w:type="dxa"/>
                  <w:vAlign w:val="center"/>
                </w:tcPr>
                <w:p>
                  <w:pPr>
                    <w:adjustRightInd w:val="0"/>
                    <w:jc w:val="center"/>
                    <w:rPr>
                      <w:bCs/>
                      <w:color w:val="auto"/>
                      <w:szCs w:val="21"/>
                      <w:highlight w:val="none"/>
                    </w:rPr>
                  </w:pPr>
                  <w:r>
                    <w:rPr>
                      <w:rFonts w:hint="eastAsia"/>
                      <w:bCs/>
                      <w:color w:val="auto"/>
                      <w:szCs w:val="21"/>
                      <w:highlight w:val="none"/>
                    </w:rPr>
                    <w:t>241.7</w:t>
                  </w:r>
                </w:p>
              </w:tc>
              <w:tc>
                <w:tcPr>
                  <w:tcW w:w="751" w:type="dxa"/>
                  <w:vAlign w:val="center"/>
                </w:tcPr>
                <w:p>
                  <w:pPr>
                    <w:adjustRightInd w:val="0"/>
                    <w:jc w:val="center"/>
                    <w:rPr>
                      <w:bCs/>
                      <w:color w:val="auto"/>
                      <w:szCs w:val="21"/>
                      <w:highlight w:val="none"/>
                    </w:rPr>
                  </w:pPr>
                  <w:r>
                    <w:rPr>
                      <w:rFonts w:hint="eastAsia"/>
                      <w:bCs/>
                      <w:color w:val="auto"/>
                      <w:szCs w:val="21"/>
                      <w:highlight w:val="none"/>
                    </w:rPr>
                    <w:t>96.7</w:t>
                  </w:r>
                </w:p>
              </w:tc>
              <w:tc>
                <w:tcPr>
                  <w:tcW w:w="546" w:type="dxa"/>
                  <w:vAlign w:val="center"/>
                </w:tcPr>
                <w:p>
                  <w:pPr>
                    <w:adjustRightInd w:val="0"/>
                    <w:jc w:val="center"/>
                    <w:rPr>
                      <w:bCs/>
                      <w:color w:val="auto"/>
                      <w:szCs w:val="21"/>
                      <w:highlight w:val="none"/>
                    </w:rPr>
                  </w:pPr>
                  <w:r>
                    <w:rPr>
                      <w:rFonts w:hint="eastAsia"/>
                      <w:bCs/>
                      <w:color w:val="auto"/>
                      <w:szCs w:val="21"/>
                      <w:highlight w:val="none"/>
                    </w:rPr>
                    <w:t>110</w:t>
                  </w:r>
                </w:p>
              </w:tc>
              <w:tc>
                <w:tcPr>
                  <w:tcW w:w="654" w:type="dxa"/>
                  <w:vAlign w:val="center"/>
                </w:tcPr>
                <w:p>
                  <w:pPr>
                    <w:adjustRightInd w:val="0"/>
                    <w:jc w:val="center"/>
                    <w:rPr>
                      <w:bCs/>
                      <w:color w:val="auto"/>
                      <w:szCs w:val="21"/>
                      <w:highlight w:val="none"/>
                    </w:rPr>
                  </w:pPr>
                  <w:r>
                    <w:rPr>
                      <w:rFonts w:hint="eastAsia"/>
                      <w:bCs/>
                      <w:color w:val="auto"/>
                      <w:szCs w:val="21"/>
                      <w:highlight w:val="none"/>
                    </w:rPr>
                    <w:t>29</w:t>
                  </w:r>
                </w:p>
              </w:tc>
              <w:tc>
                <w:tcPr>
                  <w:tcW w:w="1060" w:type="dxa"/>
                  <w:vAlign w:val="center"/>
                </w:tcPr>
                <w:p>
                  <w:pPr>
                    <w:adjustRightInd w:val="0"/>
                    <w:jc w:val="center"/>
                    <w:rPr>
                      <w:bCs/>
                      <w:color w:val="auto"/>
                      <w:szCs w:val="21"/>
                      <w:highlight w:val="none"/>
                    </w:rPr>
                  </w:pPr>
                  <w:r>
                    <w:rPr>
                      <w:rFonts w:hint="eastAsia"/>
                      <w:bCs/>
                      <w:color w:val="auto"/>
                      <w:szCs w:val="21"/>
                      <w:highlight w:val="none"/>
                    </w:rPr>
                    <w:t>19.3</w:t>
                  </w:r>
                </w:p>
              </w:tc>
              <w:tc>
                <w:tcPr>
                  <w:tcW w:w="877"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0.66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9334" w:type="dxa"/>
                  <w:gridSpan w:val="9"/>
                  <w:vAlign w:val="center"/>
                </w:tcPr>
                <w:p>
                  <w:pPr>
                    <w:adjustRightInd w:val="0"/>
                    <w:jc w:val="left"/>
                    <w:rPr>
                      <w:bCs/>
                      <w:color w:val="auto"/>
                      <w:kern w:val="0"/>
                      <w:szCs w:val="21"/>
                      <w:highlight w:val="none"/>
                      <w:lang w:val="zh-CN"/>
                    </w:rPr>
                  </w:pPr>
                  <w:r>
                    <w:rPr>
                      <w:rFonts w:hint="eastAsia"/>
                      <w:bCs/>
                      <w:color w:val="auto"/>
                      <w:kern w:val="0"/>
                      <w:szCs w:val="21"/>
                      <w:highlight w:val="none"/>
                      <w:lang w:val="zh-CN"/>
                    </w:rPr>
                    <w:t>废水处理措施：抛光、喷砂、车间拖地含油废水以及员工生活废水中的食堂含油污水经隔油池处理后，与其他生活废水进入化粪池处理，然后排入湘潭市九华污水处理厂处理。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3687" w:type="dxa"/>
                  <w:gridSpan w:val="2"/>
                  <w:vMerge w:val="restart"/>
                  <w:vAlign w:val="center"/>
                </w:tcPr>
                <w:p>
                  <w:pPr>
                    <w:adjustRightInd w:val="0"/>
                    <w:jc w:val="center"/>
                    <w:rPr>
                      <w:bCs/>
                      <w:color w:val="auto"/>
                      <w:kern w:val="0"/>
                      <w:szCs w:val="21"/>
                      <w:highlight w:val="none"/>
                      <w:lang w:val="zh-CN"/>
                    </w:rPr>
                  </w:pPr>
                  <w:r>
                    <w:rPr>
                      <w:bCs/>
                      <w:color w:val="auto"/>
                      <w:kern w:val="0"/>
                      <w:szCs w:val="21"/>
                      <w:highlight w:val="none"/>
                      <w:lang w:val="zh-CN"/>
                    </w:rPr>
                    <w:t>项目</w:t>
                  </w:r>
                </w:p>
              </w:tc>
              <w:tc>
                <w:tcPr>
                  <w:tcW w:w="1050" w:type="dxa"/>
                  <w:vMerge w:val="restart"/>
                  <w:vAlign w:val="center"/>
                </w:tcPr>
                <w:p>
                  <w:pPr>
                    <w:adjustRightInd w:val="0"/>
                    <w:jc w:val="center"/>
                    <w:rPr>
                      <w:bCs/>
                      <w:color w:val="auto"/>
                      <w:kern w:val="0"/>
                      <w:szCs w:val="21"/>
                      <w:highlight w:val="none"/>
                      <w:lang w:val="zh-CN"/>
                    </w:rPr>
                  </w:pPr>
                  <w:r>
                    <w:rPr>
                      <w:bCs/>
                      <w:color w:val="auto"/>
                      <w:kern w:val="0"/>
                      <w:szCs w:val="21"/>
                      <w:highlight w:val="none"/>
                      <w:lang w:val="zh-CN"/>
                    </w:rPr>
                    <w:t>废水量</w:t>
                  </w:r>
                </w:p>
                <w:p>
                  <w:pPr>
                    <w:adjustRightInd w:val="0"/>
                    <w:jc w:val="center"/>
                    <w:rPr>
                      <w:bCs/>
                      <w:color w:val="auto"/>
                      <w:kern w:val="0"/>
                      <w:szCs w:val="21"/>
                      <w:highlight w:val="none"/>
                      <w:lang w:val="zh-CN"/>
                    </w:rPr>
                  </w:pPr>
                  <w:r>
                    <w:rPr>
                      <w:rFonts w:hint="eastAsia"/>
                      <w:bCs/>
                      <w:color w:val="auto"/>
                      <w:kern w:val="0"/>
                      <w:szCs w:val="21"/>
                      <w:highlight w:val="none"/>
                      <w:lang w:val="zh-CN"/>
                    </w:rPr>
                    <w:t>（</w:t>
                  </w:r>
                  <w:r>
                    <w:rPr>
                      <w:bCs/>
                      <w:color w:val="auto"/>
                      <w:kern w:val="0"/>
                      <w:szCs w:val="21"/>
                      <w:highlight w:val="none"/>
                      <w:lang w:val="zh-CN"/>
                    </w:rPr>
                    <w:t>m</w:t>
                  </w:r>
                  <w:r>
                    <w:rPr>
                      <w:bCs/>
                      <w:color w:val="auto"/>
                      <w:kern w:val="0"/>
                      <w:szCs w:val="21"/>
                      <w:highlight w:val="none"/>
                      <w:vertAlign w:val="superscript"/>
                      <w:lang w:val="zh-CN"/>
                    </w:rPr>
                    <w:t>3</w:t>
                  </w:r>
                  <w:r>
                    <w:rPr>
                      <w:bCs/>
                      <w:color w:val="auto"/>
                      <w:kern w:val="0"/>
                      <w:szCs w:val="21"/>
                      <w:highlight w:val="none"/>
                      <w:lang w:val="zh-CN"/>
                    </w:rPr>
                    <w:t>/a</w:t>
                  </w:r>
                  <w:r>
                    <w:rPr>
                      <w:rFonts w:hint="eastAsia"/>
                      <w:bCs/>
                      <w:color w:val="auto"/>
                      <w:kern w:val="0"/>
                      <w:szCs w:val="21"/>
                      <w:highlight w:val="none"/>
                      <w:lang w:val="zh-CN"/>
                    </w:rPr>
                    <w:t>）</w:t>
                  </w:r>
                </w:p>
              </w:tc>
              <w:tc>
                <w:tcPr>
                  <w:tcW w:w="4597" w:type="dxa"/>
                  <w:gridSpan w:val="6"/>
                  <w:vAlign w:val="center"/>
                </w:tcPr>
                <w:p>
                  <w:pPr>
                    <w:adjustRightInd w:val="0"/>
                    <w:jc w:val="center"/>
                    <w:rPr>
                      <w:bCs/>
                      <w:color w:val="auto"/>
                      <w:kern w:val="0"/>
                      <w:szCs w:val="21"/>
                      <w:highlight w:val="none"/>
                      <w:lang w:val="zh-CN"/>
                    </w:rPr>
                  </w:pPr>
                  <w:r>
                    <w:rPr>
                      <w:bCs/>
                      <w:color w:val="auto"/>
                      <w:szCs w:val="21"/>
                      <w:highlight w:val="none"/>
                    </w:rPr>
                    <w:t>水质指标（单位：mg/L）</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3687" w:type="dxa"/>
                  <w:gridSpan w:val="2"/>
                  <w:vMerge w:val="continue"/>
                  <w:vAlign w:val="center"/>
                </w:tcPr>
                <w:p>
                  <w:pPr>
                    <w:adjustRightInd w:val="0"/>
                    <w:jc w:val="center"/>
                    <w:rPr>
                      <w:bCs/>
                      <w:color w:val="auto"/>
                      <w:kern w:val="0"/>
                      <w:szCs w:val="21"/>
                      <w:highlight w:val="none"/>
                      <w:lang w:val="zh-CN"/>
                    </w:rPr>
                  </w:pPr>
                </w:p>
              </w:tc>
              <w:tc>
                <w:tcPr>
                  <w:tcW w:w="1050" w:type="dxa"/>
                  <w:vMerge w:val="continue"/>
                  <w:vAlign w:val="center"/>
                </w:tcPr>
                <w:p>
                  <w:pPr>
                    <w:adjustRightInd w:val="0"/>
                    <w:jc w:val="center"/>
                    <w:rPr>
                      <w:bCs/>
                      <w:color w:val="auto"/>
                      <w:kern w:val="0"/>
                      <w:szCs w:val="21"/>
                      <w:highlight w:val="none"/>
                      <w:lang w:val="zh-CN"/>
                    </w:rPr>
                  </w:pPr>
                </w:p>
              </w:tc>
              <w:tc>
                <w:tcPr>
                  <w:tcW w:w="709" w:type="dxa"/>
                  <w:vAlign w:val="center"/>
                </w:tcPr>
                <w:p>
                  <w:pPr>
                    <w:adjustRightInd w:val="0"/>
                    <w:jc w:val="center"/>
                    <w:rPr>
                      <w:bCs/>
                      <w:color w:val="auto"/>
                      <w:szCs w:val="21"/>
                      <w:highlight w:val="none"/>
                    </w:rPr>
                  </w:pPr>
                  <w:r>
                    <w:rPr>
                      <w:bCs/>
                      <w:color w:val="auto"/>
                      <w:szCs w:val="21"/>
                      <w:highlight w:val="none"/>
                    </w:rPr>
                    <w:t>COD</w:t>
                  </w:r>
                </w:p>
              </w:tc>
              <w:tc>
                <w:tcPr>
                  <w:tcW w:w="751" w:type="dxa"/>
                  <w:vAlign w:val="center"/>
                </w:tcPr>
                <w:p>
                  <w:pPr>
                    <w:adjustRightInd w:val="0"/>
                    <w:jc w:val="center"/>
                    <w:rPr>
                      <w:bCs/>
                      <w:color w:val="auto"/>
                      <w:szCs w:val="21"/>
                      <w:highlight w:val="none"/>
                    </w:rPr>
                  </w:pPr>
                  <w:r>
                    <w:rPr>
                      <w:bCs/>
                      <w:color w:val="auto"/>
                      <w:szCs w:val="21"/>
                      <w:highlight w:val="none"/>
                    </w:rPr>
                    <w:t>BOD</w:t>
                  </w:r>
                  <w:r>
                    <w:rPr>
                      <w:bCs/>
                      <w:color w:val="auto"/>
                      <w:szCs w:val="21"/>
                      <w:highlight w:val="none"/>
                      <w:vertAlign w:val="subscript"/>
                    </w:rPr>
                    <w:t>5</w:t>
                  </w:r>
                </w:p>
              </w:tc>
              <w:tc>
                <w:tcPr>
                  <w:tcW w:w="546" w:type="dxa"/>
                  <w:vAlign w:val="center"/>
                </w:tcPr>
                <w:p>
                  <w:pPr>
                    <w:adjustRightInd w:val="0"/>
                    <w:jc w:val="center"/>
                    <w:rPr>
                      <w:bCs/>
                      <w:color w:val="auto"/>
                      <w:szCs w:val="21"/>
                      <w:highlight w:val="none"/>
                    </w:rPr>
                  </w:pPr>
                  <w:r>
                    <w:rPr>
                      <w:bCs/>
                      <w:color w:val="auto"/>
                      <w:szCs w:val="21"/>
                      <w:highlight w:val="none"/>
                    </w:rPr>
                    <w:t>SS</w:t>
                  </w:r>
                </w:p>
              </w:tc>
              <w:tc>
                <w:tcPr>
                  <w:tcW w:w="654" w:type="dxa"/>
                  <w:vAlign w:val="center"/>
                </w:tcPr>
                <w:p>
                  <w:pPr>
                    <w:adjustRightInd w:val="0"/>
                    <w:jc w:val="center"/>
                    <w:rPr>
                      <w:bCs/>
                      <w:color w:val="auto"/>
                      <w:szCs w:val="21"/>
                      <w:highlight w:val="none"/>
                    </w:rPr>
                  </w:pPr>
                  <w:r>
                    <w:rPr>
                      <w:bCs/>
                      <w:color w:val="auto"/>
                      <w:szCs w:val="21"/>
                      <w:highlight w:val="none"/>
                    </w:rPr>
                    <w:t>氨氮</w:t>
                  </w:r>
                </w:p>
              </w:tc>
              <w:tc>
                <w:tcPr>
                  <w:tcW w:w="1060" w:type="dxa"/>
                  <w:vAlign w:val="center"/>
                </w:tcPr>
                <w:p>
                  <w:pPr>
                    <w:adjustRightInd w:val="0"/>
                    <w:jc w:val="center"/>
                    <w:rPr>
                      <w:bCs/>
                      <w:color w:val="auto"/>
                      <w:szCs w:val="21"/>
                      <w:highlight w:val="none"/>
                    </w:rPr>
                  </w:pPr>
                  <w:r>
                    <w:rPr>
                      <w:rFonts w:hint="eastAsia"/>
                      <w:bCs/>
                      <w:color w:val="auto"/>
                      <w:szCs w:val="21"/>
                      <w:highlight w:val="none"/>
                    </w:rPr>
                    <w:t>动植物油</w:t>
                  </w:r>
                </w:p>
              </w:tc>
              <w:tc>
                <w:tcPr>
                  <w:tcW w:w="877"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石油类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871" w:type="dxa"/>
                  <w:vMerge w:val="restart"/>
                  <w:vAlign w:val="center"/>
                </w:tcPr>
                <w:p>
                  <w:pPr>
                    <w:adjustRightInd w:val="0"/>
                    <w:jc w:val="center"/>
                    <w:rPr>
                      <w:bCs/>
                      <w:color w:val="auto"/>
                      <w:kern w:val="0"/>
                      <w:szCs w:val="21"/>
                      <w:highlight w:val="none"/>
                      <w:lang w:val="zh-CN"/>
                    </w:rPr>
                  </w:pPr>
                  <w:r>
                    <w:rPr>
                      <w:bCs/>
                      <w:color w:val="auto"/>
                      <w:kern w:val="0"/>
                      <w:szCs w:val="21"/>
                      <w:highlight w:val="none"/>
                      <w:lang w:val="zh-CN"/>
                    </w:rPr>
                    <w:t>废水</w:t>
                  </w:r>
                  <w:r>
                    <w:rPr>
                      <w:rFonts w:hint="eastAsia"/>
                      <w:bCs/>
                      <w:color w:val="auto"/>
                      <w:kern w:val="0"/>
                      <w:szCs w:val="21"/>
                      <w:highlight w:val="none"/>
                      <w:lang w:val="zh-CN"/>
                    </w:rPr>
                    <w:t>排</w:t>
                  </w:r>
                </w:p>
                <w:p>
                  <w:pPr>
                    <w:adjustRightInd w:val="0"/>
                    <w:jc w:val="center"/>
                    <w:rPr>
                      <w:bCs/>
                      <w:color w:val="auto"/>
                      <w:kern w:val="0"/>
                      <w:szCs w:val="21"/>
                      <w:highlight w:val="none"/>
                      <w:lang w:val="zh-CN"/>
                    </w:rPr>
                  </w:pPr>
                  <w:r>
                    <w:rPr>
                      <w:rFonts w:hint="eastAsia"/>
                      <w:bCs/>
                      <w:color w:val="auto"/>
                      <w:kern w:val="0"/>
                      <w:szCs w:val="21"/>
                      <w:highlight w:val="none"/>
                      <w:lang w:val="zh-CN"/>
                    </w:rPr>
                    <w:t>放</w:t>
                  </w:r>
                  <w:r>
                    <w:rPr>
                      <w:bCs/>
                      <w:color w:val="auto"/>
                      <w:kern w:val="0"/>
                      <w:szCs w:val="21"/>
                      <w:highlight w:val="none"/>
                      <w:lang w:val="zh-CN"/>
                    </w:rPr>
                    <w:t>情况</w:t>
                  </w:r>
                </w:p>
              </w:tc>
              <w:tc>
                <w:tcPr>
                  <w:tcW w:w="2816"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经厂区污水处理设施处理后</w:t>
                  </w:r>
                </w:p>
              </w:tc>
              <w:tc>
                <w:tcPr>
                  <w:tcW w:w="1050"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18864</w:t>
                  </w:r>
                </w:p>
              </w:tc>
              <w:tc>
                <w:tcPr>
                  <w:tcW w:w="709" w:type="dxa"/>
                  <w:vAlign w:val="center"/>
                </w:tcPr>
                <w:p>
                  <w:pPr>
                    <w:adjustRightInd w:val="0"/>
                    <w:jc w:val="center"/>
                    <w:rPr>
                      <w:bCs/>
                      <w:color w:val="auto"/>
                      <w:szCs w:val="21"/>
                      <w:highlight w:val="none"/>
                    </w:rPr>
                  </w:pPr>
                  <w:r>
                    <w:rPr>
                      <w:rFonts w:hint="eastAsia"/>
                      <w:bCs/>
                      <w:color w:val="auto"/>
                      <w:szCs w:val="21"/>
                      <w:highlight w:val="none"/>
                    </w:rPr>
                    <w:t>200</w:t>
                  </w:r>
                </w:p>
              </w:tc>
              <w:tc>
                <w:tcPr>
                  <w:tcW w:w="751" w:type="dxa"/>
                  <w:vAlign w:val="center"/>
                </w:tcPr>
                <w:p>
                  <w:pPr>
                    <w:adjustRightInd w:val="0"/>
                    <w:jc w:val="center"/>
                    <w:rPr>
                      <w:bCs/>
                      <w:color w:val="auto"/>
                      <w:szCs w:val="21"/>
                      <w:highlight w:val="none"/>
                    </w:rPr>
                  </w:pPr>
                  <w:r>
                    <w:rPr>
                      <w:rFonts w:hint="eastAsia"/>
                      <w:bCs/>
                      <w:color w:val="auto"/>
                      <w:szCs w:val="21"/>
                      <w:highlight w:val="none"/>
                    </w:rPr>
                    <w:t>80</w:t>
                  </w:r>
                </w:p>
              </w:tc>
              <w:tc>
                <w:tcPr>
                  <w:tcW w:w="546" w:type="dxa"/>
                  <w:vAlign w:val="center"/>
                </w:tcPr>
                <w:p>
                  <w:pPr>
                    <w:adjustRightInd w:val="0"/>
                    <w:jc w:val="center"/>
                    <w:rPr>
                      <w:bCs/>
                      <w:color w:val="auto"/>
                      <w:szCs w:val="21"/>
                      <w:highlight w:val="none"/>
                    </w:rPr>
                  </w:pPr>
                  <w:r>
                    <w:rPr>
                      <w:rFonts w:hint="eastAsia"/>
                      <w:bCs/>
                      <w:color w:val="auto"/>
                      <w:szCs w:val="21"/>
                      <w:highlight w:val="none"/>
                    </w:rPr>
                    <w:t>80</w:t>
                  </w:r>
                </w:p>
              </w:tc>
              <w:tc>
                <w:tcPr>
                  <w:tcW w:w="654" w:type="dxa"/>
                  <w:vAlign w:val="center"/>
                </w:tcPr>
                <w:p>
                  <w:pPr>
                    <w:adjustRightInd w:val="0"/>
                    <w:jc w:val="center"/>
                    <w:rPr>
                      <w:bCs/>
                      <w:color w:val="auto"/>
                      <w:szCs w:val="21"/>
                      <w:highlight w:val="none"/>
                    </w:rPr>
                  </w:pPr>
                  <w:r>
                    <w:rPr>
                      <w:rFonts w:hint="eastAsia"/>
                      <w:bCs/>
                      <w:color w:val="auto"/>
                      <w:szCs w:val="21"/>
                      <w:highlight w:val="none"/>
                    </w:rPr>
                    <w:t>25</w:t>
                  </w:r>
                </w:p>
              </w:tc>
              <w:tc>
                <w:tcPr>
                  <w:tcW w:w="1060" w:type="dxa"/>
                  <w:vAlign w:val="center"/>
                </w:tcPr>
                <w:p>
                  <w:pPr>
                    <w:adjustRightInd w:val="0"/>
                    <w:jc w:val="center"/>
                    <w:rPr>
                      <w:bCs/>
                      <w:color w:val="auto"/>
                      <w:szCs w:val="21"/>
                      <w:highlight w:val="none"/>
                    </w:rPr>
                  </w:pPr>
                  <w:r>
                    <w:rPr>
                      <w:rFonts w:hint="eastAsia"/>
                      <w:bCs/>
                      <w:color w:val="auto"/>
                      <w:szCs w:val="21"/>
                      <w:highlight w:val="none"/>
                    </w:rPr>
                    <w:t>15</w:t>
                  </w:r>
                </w:p>
              </w:tc>
              <w:tc>
                <w:tcPr>
                  <w:tcW w:w="877"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Ex>
              <w:trPr>
                <w:trHeight w:val="454" w:hRule="atLeast"/>
                <w:jc w:val="center"/>
              </w:trPr>
              <w:tc>
                <w:tcPr>
                  <w:tcW w:w="871" w:type="dxa"/>
                  <w:vMerge w:val="continue"/>
                  <w:vAlign w:val="center"/>
                </w:tcPr>
                <w:p>
                  <w:pPr>
                    <w:adjustRightInd w:val="0"/>
                    <w:jc w:val="center"/>
                    <w:rPr>
                      <w:bCs/>
                      <w:color w:val="auto"/>
                      <w:kern w:val="0"/>
                      <w:szCs w:val="21"/>
                      <w:highlight w:val="none"/>
                      <w:lang w:val="zh-CN"/>
                    </w:rPr>
                  </w:pPr>
                </w:p>
              </w:tc>
              <w:tc>
                <w:tcPr>
                  <w:tcW w:w="2816"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经九华污水处理厂处理后</w:t>
                  </w:r>
                </w:p>
              </w:tc>
              <w:tc>
                <w:tcPr>
                  <w:tcW w:w="1050"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18864</w:t>
                  </w:r>
                </w:p>
              </w:tc>
              <w:tc>
                <w:tcPr>
                  <w:tcW w:w="709" w:type="dxa"/>
                  <w:vAlign w:val="center"/>
                </w:tcPr>
                <w:p>
                  <w:pPr>
                    <w:adjustRightInd w:val="0"/>
                    <w:jc w:val="center"/>
                    <w:rPr>
                      <w:bCs/>
                      <w:color w:val="auto"/>
                      <w:szCs w:val="21"/>
                      <w:highlight w:val="none"/>
                    </w:rPr>
                  </w:pPr>
                  <w:r>
                    <w:rPr>
                      <w:rFonts w:hint="eastAsia"/>
                      <w:bCs/>
                      <w:color w:val="auto"/>
                      <w:szCs w:val="21"/>
                      <w:highlight w:val="none"/>
                    </w:rPr>
                    <w:t>50</w:t>
                  </w:r>
                </w:p>
              </w:tc>
              <w:tc>
                <w:tcPr>
                  <w:tcW w:w="751" w:type="dxa"/>
                  <w:vAlign w:val="center"/>
                </w:tcPr>
                <w:p>
                  <w:pPr>
                    <w:adjustRightInd w:val="0"/>
                    <w:jc w:val="center"/>
                    <w:rPr>
                      <w:bCs/>
                      <w:color w:val="auto"/>
                      <w:szCs w:val="21"/>
                      <w:highlight w:val="none"/>
                    </w:rPr>
                  </w:pPr>
                  <w:r>
                    <w:rPr>
                      <w:rFonts w:hint="eastAsia"/>
                      <w:bCs/>
                      <w:color w:val="auto"/>
                      <w:szCs w:val="21"/>
                      <w:highlight w:val="none"/>
                    </w:rPr>
                    <w:t>10</w:t>
                  </w:r>
                </w:p>
              </w:tc>
              <w:tc>
                <w:tcPr>
                  <w:tcW w:w="546" w:type="dxa"/>
                  <w:vAlign w:val="center"/>
                </w:tcPr>
                <w:p>
                  <w:pPr>
                    <w:adjustRightInd w:val="0"/>
                    <w:jc w:val="center"/>
                    <w:rPr>
                      <w:bCs/>
                      <w:color w:val="auto"/>
                      <w:szCs w:val="21"/>
                      <w:highlight w:val="none"/>
                    </w:rPr>
                  </w:pPr>
                  <w:r>
                    <w:rPr>
                      <w:rFonts w:hint="eastAsia"/>
                      <w:bCs/>
                      <w:color w:val="auto"/>
                      <w:szCs w:val="21"/>
                      <w:highlight w:val="none"/>
                    </w:rPr>
                    <w:t>10</w:t>
                  </w:r>
                </w:p>
              </w:tc>
              <w:tc>
                <w:tcPr>
                  <w:tcW w:w="654" w:type="dxa"/>
                  <w:vAlign w:val="center"/>
                </w:tcPr>
                <w:p>
                  <w:pPr>
                    <w:adjustRightInd w:val="0"/>
                    <w:jc w:val="center"/>
                    <w:rPr>
                      <w:bCs/>
                      <w:color w:val="auto"/>
                      <w:szCs w:val="21"/>
                      <w:highlight w:val="none"/>
                    </w:rPr>
                  </w:pPr>
                  <w:r>
                    <w:rPr>
                      <w:rFonts w:hint="eastAsia"/>
                      <w:bCs/>
                      <w:color w:val="auto"/>
                      <w:szCs w:val="21"/>
                      <w:highlight w:val="none"/>
                    </w:rPr>
                    <w:t>5</w:t>
                  </w:r>
                </w:p>
              </w:tc>
              <w:tc>
                <w:tcPr>
                  <w:tcW w:w="1060" w:type="dxa"/>
                  <w:vAlign w:val="center"/>
                </w:tcPr>
                <w:p>
                  <w:pPr>
                    <w:adjustRightInd w:val="0"/>
                    <w:jc w:val="center"/>
                    <w:rPr>
                      <w:bCs/>
                      <w:color w:val="auto"/>
                      <w:szCs w:val="21"/>
                      <w:highlight w:val="none"/>
                    </w:rPr>
                  </w:pPr>
                  <w:r>
                    <w:rPr>
                      <w:rFonts w:hint="eastAsia"/>
                      <w:bCs/>
                      <w:color w:val="auto"/>
                      <w:szCs w:val="21"/>
                      <w:highlight w:val="none"/>
                    </w:rPr>
                    <w:t>1</w:t>
                  </w:r>
                </w:p>
              </w:tc>
              <w:tc>
                <w:tcPr>
                  <w:tcW w:w="877" w:type="dxa"/>
                  <w:vAlign w:val="center"/>
                </w:tcPr>
                <w:p>
                  <w:pPr>
                    <w:adjustRightInd w:val="0"/>
                    <w:jc w:val="center"/>
                    <w:rPr>
                      <w:bCs/>
                      <w:color w:val="auto"/>
                      <w:kern w:val="0"/>
                      <w:szCs w:val="21"/>
                      <w:highlight w:val="none"/>
                      <w:lang w:val="zh-CN"/>
                    </w:rPr>
                  </w:pPr>
                  <w:r>
                    <w:rPr>
                      <w:rFonts w:hint="eastAsia"/>
                      <w:bCs/>
                      <w:color w:val="auto"/>
                      <w:kern w:val="0"/>
                      <w:szCs w:val="21"/>
                      <w:highlight w:val="none"/>
                      <w:lang w:val="zh-CN"/>
                    </w:rPr>
                    <w:t>0.5</w:t>
                  </w:r>
                </w:p>
              </w:tc>
            </w:tr>
          </w:tbl>
          <w:p>
            <w:pPr>
              <w:spacing w:line="360" w:lineRule="auto"/>
              <w:ind w:firstLine="504" w:firstLineChars="200"/>
              <w:rPr>
                <w:color w:val="auto"/>
                <w:spacing w:val="6"/>
                <w:sz w:val="24"/>
                <w:highlight w:val="none"/>
              </w:rPr>
            </w:pP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5.3.3 噪声</w:t>
            </w:r>
          </w:p>
          <w:p>
            <w:pPr>
              <w:spacing w:line="360" w:lineRule="auto"/>
              <w:ind w:firstLine="480" w:firstLineChars="200"/>
              <w:rPr>
                <w:bCs/>
                <w:color w:val="auto"/>
                <w:sz w:val="24"/>
                <w:highlight w:val="none"/>
              </w:rPr>
            </w:pPr>
            <w:r>
              <w:rPr>
                <w:rFonts w:hint="eastAsia"/>
                <w:bCs/>
                <w:color w:val="auto"/>
                <w:sz w:val="24"/>
                <w:highlight w:val="none"/>
              </w:rPr>
              <w:t>本项目营运期噪声主要来自压机、车床、热处理炉、磨床、钻床、铣床、注塑机、装配机、风机等设备运行过程，项目主要噪声源及控制措施见下表5-10所示：</w:t>
            </w:r>
          </w:p>
          <w:p>
            <w:pPr>
              <w:snapToGrid w:val="0"/>
              <w:spacing w:line="360" w:lineRule="auto"/>
              <w:jc w:val="center"/>
              <w:rPr>
                <w:b/>
                <w:color w:val="auto"/>
                <w:sz w:val="24"/>
                <w:highlight w:val="none"/>
              </w:rPr>
            </w:pPr>
            <w:r>
              <w:rPr>
                <w:rFonts w:hint="eastAsia"/>
                <w:b/>
                <w:color w:val="auto"/>
                <w:sz w:val="24"/>
                <w:highlight w:val="none"/>
              </w:rPr>
              <w:t>表5-10  项目营运期噪声污染源情况一览表</w:t>
            </w:r>
          </w:p>
          <w:tbl>
            <w:tblPr>
              <w:tblStyle w:val="29"/>
              <w:tblW w:w="933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98"/>
              <w:gridCol w:w="2582"/>
              <w:gridCol w:w="3711"/>
              <w:gridCol w:w="21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序号</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名称</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位置</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噪声级</w:t>
                  </w:r>
                  <w:r>
                    <w:rPr>
                      <w:rFonts w:ascii="Times New Roman"/>
                      <w:color w:val="auto"/>
                      <w:sz w:val="21"/>
                      <w:szCs w:val="21"/>
                      <w:highlight w:val="none"/>
                    </w:rPr>
                    <w:t>dB</w:t>
                  </w:r>
                  <w:r>
                    <w:rPr>
                      <w:rFonts w:hint="eastAsia" w:ascii="Times New Roman"/>
                      <w:color w:val="auto"/>
                      <w:sz w:val="21"/>
                      <w:szCs w:val="21"/>
                      <w:highlight w:val="none"/>
                    </w:rPr>
                    <w:t>（</w:t>
                  </w:r>
                  <w:r>
                    <w:rPr>
                      <w:rFonts w:ascii="Times New Roman"/>
                      <w:color w:val="auto"/>
                      <w:sz w:val="21"/>
                      <w:szCs w:val="21"/>
                      <w:highlight w:val="none"/>
                    </w:rPr>
                    <w:t>A</w:t>
                  </w:r>
                  <w:r>
                    <w:rPr>
                      <w:rFonts w:hint="eastAsia" w:ascii="Times New Roman"/>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1</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压机</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一期工程生产车间</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2</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车床</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一期工程生产车间</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3</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热处理炉</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一期工程生产车间</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4</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磨床</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一期工程生产车间</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78-85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5</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钻床</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一期工程生产车间</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85-95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6</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铣床</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一期工程生产车间</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注塑机</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一期工程生产车间</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装配机</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一期工程生产车间</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9</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风机</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一期工程生产车间、办公中心</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10</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中央空调压缩机组</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办公中心</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80-90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898"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11</w:t>
                  </w:r>
                </w:p>
              </w:tc>
              <w:tc>
                <w:tcPr>
                  <w:tcW w:w="2582"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中央空调冷却塔</w:t>
                  </w:r>
                </w:p>
              </w:tc>
              <w:tc>
                <w:tcPr>
                  <w:tcW w:w="3711"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办公中心</w:t>
                  </w:r>
                </w:p>
              </w:tc>
              <w:tc>
                <w:tcPr>
                  <w:tcW w:w="214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70-75</w:t>
                  </w:r>
                </w:p>
              </w:tc>
            </w:tr>
          </w:tbl>
          <w:p>
            <w:pPr>
              <w:spacing w:line="360" w:lineRule="auto"/>
              <w:ind w:firstLine="504" w:firstLineChars="200"/>
              <w:rPr>
                <w:color w:val="auto"/>
                <w:spacing w:val="6"/>
                <w:sz w:val="24"/>
                <w:highlight w:val="none"/>
              </w:rPr>
            </w:pP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5.3.4 固体废弃物</w:t>
            </w:r>
          </w:p>
          <w:p>
            <w:pPr>
              <w:spacing w:line="360" w:lineRule="auto"/>
              <w:ind w:firstLine="504" w:firstLineChars="200"/>
              <w:rPr>
                <w:color w:val="auto"/>
                <w:spacing w:val="6"/>
                <w:sz w:val="24"/>
                <w:highlight w:val="none"/>
              </w:rPr>
            </w:pPr>
            <w:r>
              <w:rPr>
                <w:rFonts w:hint="eastAsia"/>
                <w:color w:val="auto"/>
                <w:spacing w:val="6"/>
                <w:sz w:val="24"/>
                <w:highlight w:val="none"/>
              </w:rPr>
              <w:t>根据本报告5.1节内容可知，本项目固体废弃物包括生产固废和生活固废，其中生产固废包括：①各类机加工工序产生的钢铁及塑料边角废料（S1），②质检工序产生的残次品（S2），③电化学去毛刺产生的氢氧化铁废渣（S3），④车削、磨削等设备更换的废乳化液（S4），⑤各类设备更换的机油、冲压油、磨削油等各类废油脂（S5），⑥清洗工序产生的轻质石油类或硝酸类清洗废液（S6），⑦油雾净化器收集的淬火油（S7）。生活固废主要为生活垃圾（S8）、隔油池等收集的废油脂（S9）。</w:t>
            </w:r>
          </w:p>
          <w:p>
            <w:pPr>
              <w:spacing w:line="360" w:lineRule="auto"/>
              <w:ind w:firstLine="504" w:firstLineChars="200"/>
              <w:rPr>
                <w:color w:val="auto"/>
                <w:spacing w:val="6"/>
                <w:sz w:val="24"/>
                <w:highlight w:val="none"/>
              </w:rPr>
            </w:pPr>
            <w:r>
              <w:rPr>
                <w:rFonts w:hint="eastAsia"/>
                <w:color w:val="auto"/>
                <w:spacing w:val="6"/>
                <w:sz w:val="24"/>
                <w:highlight w:val="none"/>
              </w:rPr>
              <w:t>（1）危险固废</w:t>
            </w:r>
          </w:p>
          <w:p>
            <w:pPr>
              <w:spacing w:line="360" w:lineRule="auto"/>
              <w:ind w:firstLine="504" w:firstLineChars="200"/>
              <w:rPr>
                <w:color w:val="auto"/>
                <w:spacing w:val="6"/>
                <w:sz w:val="24"/>
                <w:highlight w:val="none"/>
              </w:rPr>
            </w:pPr>
            <w:r>
              <w:rPr>
                <w:rFonts w:hint="eastAsia"/>
                <w:color w:val="auto"/>
                <w:spacing w:val="6"/>
                <w:sz w:val="24"/>
                <w:highlight w:val="none"/>
              </w:rPr>
              <w:t>①电化学去毛刺产生的氢氧化铁废渣产生量约0.05t/a，清洗工序产生的轻质石油类或硝酸类清洗废液产生总量约0.995t/a。查阅《国家危险废物名录》（2016年版）可知，上述固废属于HW17  类危险废物，废物代码为366-064-17。</w:t>
            </w:r>
          </w:p>
          <w:p>
            <w:pPr>
              <w:spacing w:line="360" w:lineRule="auto"/>
              <w:ind w:firstLine="504" w:firstLineChars="200"/>
              <w:rPr>
                <w:color w:val="auto"/>
                <w:spacing w:val="6"/>
                <w:sz w:val="24"/>
                <w:highlight w:val="none"/>
              </w:rPr>
            </w:pPr>
            <w:r>
              <w:rPr>
                <w:rFonts w:hint="eastAsia"/>
                <w:color w:val="auto"/>
                <w:spacing w:val="6"/>
                <w:sz w:val="24"/>
                <w:highlight w:val="none"/>
              </w:rPr>
              <w:t>②本项目设备需定期更换乳化液，产生量约为</w:t>
            </w:r>
            <w:r>
              <w:rPr>
                <w:rFonts w:hint="eastAsia"/>
                <w:color w:val="auto"/>
                <w:sz w:val="24"/>
                <w:highlight w:val="none"/>
              </w:rPr>
              <w:t>3.04t/a。（按照用量的20%计算）</w:t>
            </w:r>
            <w:r>
              <w:rPr>
                <w:rFonts w:hint="eastAsia"/>
                <w:color w:val="auto"/>
                <w:spacing w:val="6"/>
                <w:sz w:val="24"/>
                <w:highlight w:val="none"/>
              </w:rPr>
              <w:t>查阅《国家危险废物名录》（2016年版）可知，上述固废属于HW09  类危险废物，废物代码为900-006-09。</w:t>
            </w:r>
          </w:p>
          <w:p>
            <w:pPr>
              <w:spacing w:line="360" w:lineRule="auto"/>
              <w:ind w:firstLine="504" w:firstLineChars="200"/>
              <w:rPr>
                <w:color w:val="auto"/>
                <w:spacing w:val="6"/>
                <w:sz w:val="24"/>
                <w:highlight w:val="none"/>
              </w:rPr>
            </w:pPr>
            <w:r>
              <w:rPr>
                <w:rFonts w:hint="eastAsia"/>
                <w:color w:val="auto"/>
                <w:spacing w:val="6"/>
                <w:sz w:val="24"/>
                <w:highlight w:val="none"/>
              </w:rPr>
              <w:t>③本项目设备需定期更换防锈油、切削油、润滑脂、冲压油等，产生量约为</w:t>
            </w:r>
            <w:r>
              <w:rPr>
                <w:rFonts w:hint="eastAsia"/>
                <w:color w:val="auto"/>
                <w:sz w:val="24"/>
                <w:highlight w:val="none"/>
              </w:rPr>
              <w:t>12.22t/a（按照用量的20%计算）</w:t>
            </w:r>
            <w:r>
              <w:rPr>
                <w:rFonts w:hint="eastAsia"/>
                <w:color w:val="auto"/>
                <w:spacing w:val="6"/>
                <w:sz w:val="24"/>
                <w:highlight w:val="none"/>
              </w:rPr>
              <w:t>。该部分废物属于《国家危险废物名录》（2016年版）中HW08  类危险废物，废物代码包括900-216-08、900-217-08、900-218-08、900-219-08。</w:t>
            </w:r>
          </w:p>
          <w:p>
            <w:pPr>
              <w:spacing w:line="360" w:lineRule="auto"/>
              <w:ind w:firstLine="504" w:firstLineChars="200"/>
              <w:rPr>
                <w:color w:val="auto"/>
                <w:spacing w:val="6"/>
                <w:sz w:val="24"/>
                <w:highlight w:val="none"/>
              </w:rPr>
            </w:pPr>
            <w:r>
              <w:rPr>
                <w:rFonts w:hint="eastAsia"/>
                <w:color w:val="auto"/>
                <w:spacing w:val="6"/>
                <w:sz w:val="24"/>
                <w:highlight w:val="none"/>
              </w:rPr>
              <w:t>④本项目油雾净化器净化淬火废气，定期收集淬火油，产生量约2.83t/a。该部分废物属于《国家危险废物名录》（2016年版）中HW08  类危险废物，废物代码为900-203-08。</w:t>
            </w:r>
          </w:p>
          <w:p>
            <w:pPr>
              <w:spacing w:line="360" w:lineRule="auto"/>
              <w:ind w:firstLine="504" w:firstLineChars="200"/>
              <w:rPr>
                <w:color w:val="auto"/>
                <w:spacing w:val="6"/>
                <w:sz w:val="24"/>
                <w:highlight w:val="none"/>
              </w:rPr>
            </w:pPr>
            <w:r>
              <w:rPr>
                <w:rFonts w:hint="eastAsia"/>
                <w:color w:val="auto"/>
                <w:spacing w:val="6"/>
                <w:sz w:val="24"/>
                <w:highlight w:val="none"/>
              </w:rPr>
              <w:t>产生的危险废物分类收集，暂存于废品库中危险固废区，委托有资质的单位定期运输、处置。</w:t>
            </w:r>
          </w:p>
          <w:p>
            <w:pPr>
              <w:spacing w:line="360" w:lineRule="auto"/>
              <w:ind w:firstLine="504" w:firstLineChars="200"/>
              <w:rPr>
                <w:color w:val="auto"/>
                <w:spacing w:val="6"/>
                <w:sz w:val="24"/>
                <w:highlight w:val="none"/>
              </w:rPr>
            </w:pPr>
            <w:r>
              <w:rPr>
                <w:rFonts w:hint="eastAsia"/>
                <w:color w:val="auto"/>
                <w:spacing w:val="6"/>
                <w:sz w:val="24"/>
                <w:highlight w:val="none"/>
              </w:rPr>
              <w:t>（2）一般工业固废</w:t>
            </w:r>
          </w:p>
          <w:p>
            <w:pPr>
              <w:spacing w:line="360" w:lineRule="auto"/>
              <w:ind w:firstLine="504" w:firstLineChars="200"/>
              <w:rPr>
                <w:color w:val="auto"/>
                <w:spacing w:val="6"/>
                <w:sz w:val="24"/>
                <w:highlight w:val="none"/>
              </w:rPr>
            </w:pPr>
            <w:r>
              <w:rPr>
                <w:rFonts w:hint="eastAsia"/>
                <w:color w:val="auto"/>
                <w:spacing w:val="6"/>
                <w:sz w:val="24"/>
                <w:highlight w:val="none"/>
              </w:rPr>
              <w:t>包括钢铁及塑料边角废料、残次品，产生量约14.75t/a，分类收集、暂存于废品库中一般固废区，拟外售废品回收站处理。</w:t>
            </w:r>
          </w:p>
          <w:p>
            <w:pPr>
              <w:spacing w:line="360" w:lineRule="auto"/>
              <w:ind w:firstLine="504" w:firstLineChars="200"/>
              <w:rPr>
                <w:color w:val="auto"/>
                <w:spacing w:val="6"/>
                <w:sz w:val="24"/>
                <w:highlight w:val="none"/>
              </w:rPr>
            </w:pPr>
            <w:r>
              <w:rPr>
                <w:rFonts w:hint="eastAsia"/>
                <w:color w:val="auto"/>
                <w:spacing w:val="6"/>
                <w:sz w:val="24"/>
                <w:highlight w:val="none"/>
              </w:rPr>
              <w:t>（3）生活固废</w:t>
            </w:r>
          </w:p>
          <w:p>
            <w:pPr>
              <w:spacing w:line="360" w:lineRule="auto"/>
              <w:ind w:firstLine="480" w:firstLineChars="200"/>
              <w:rPr>
                <w:color w:val="auto"/>
                <w:sz w:val="24"/>
                <w:highlight w:val="none"/>
              </w:rPr>
            </w:pPr>
            <w:r>
              <w:rPr>
                <w:rFonts w:hint="eastAsia"/>
                <w:color w:val="auto"/>
                <w:sz w:val="24"/>
                <w:highlight w:val="none"/>
              </w:rPr>
              <w:t>本项目劳动定员950人，无人在厂区住宿，生活垃圾按</w:t>
            </w:r>
            <w:r>
              <w:rPr>
                <w:color w:val="auto"/>
                <w:sz w:val="24"/>
                <w:highlight w:val="none"/>
              </w:rPr>
              <w:t>0.5kg/</w:t>
            </w:r>
            <w:r>
              <w:rPr>
                <w:rFonts w:hint="eastAsia"/>
                <w:color w:val="auto"/>
                <w:sz w:val="24"/>
                <w:highlight w:val="none"/>
              </w:rPr>
              <w:t>人·</w:t>
            </w:r>
            <w:r>
              <w:rPr>
                <w:color w:val="auto"/>
                <w:sz w:val="24"/>
                <w:highlight w:val="none"/>
              </w:rPr>
              <w:t>d</w:t>
            </w:r>
            <w:r>
              <w:rPr>
                <w:rFonts w:hint="eastAsia"/>
                <w:color w:val="auto"/>
                <w:sz w:val="24"/>
                <w:highlight w:val="none"/>
              </w:rPr>
              <w:t>计，则</w:t>
            </w:r>
            <w:r>
              <w:rPr>
                <w:color w:val="auto"/>
                <w:sz w:val="24"/>
                <w:highlight w:val="none"/>
              </w:rPr>
              <w:t>生活垃圾产生量为</w:t>
            </w:r>
            <w:r>
              <w:rPr>
                <w:rFonts w:hint="eastAsia"/>
                <w:color w:val="auto"/>
                <w:sz w:val="24"/>
                <w:highlight w:val="none"/>
              </w:rPr>
              <w:t>142.5t/a，由市政环卫部门统一清运处置。</w:t>
            </w:r>
          </w:p>
          <w:p>
            <w:pPr>
              <w:spacing w:line="360" w:lineRule="auto"/>
              <w:ind w:firstLine="480" w:firstLineChars="200"/>
              <w:rPr>
                <w:color w:val="auto"/>
                <w:sz w:val="24"/>
                <w:highlight w:val="none"/>
              </w:rPr>
            </w:pPr>
            <w:r>
              <w:rPr>
                <w:rFonts w:hint="eastAsia"/>
                <w:color w:val="auto"/>
                <w:sz w:val="24"/>
                <w:highlight w:val="none"/>
              </w:rPr>
              <w:t>此外，项目隔油池等废油脂产生量约0.1t/a。该部分废油脂属于一般废弃物，委托湘潭市有专门处理餐厨垃圾资质的单位统一清运、处置。</w:t>
            </w: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p>
            <w:pPr>
              <w:spacing w:line="360" w:lineRule="auto"/>
              <w:ind w:firstLine="504" w:firstLineChars="200"/>
              <w:rPr>
                <w:color w:val="auto"/>
                <w:spacing w:val="6"/>
                <w:sz w:val="24"/>
                <w:highlight w:val="none"/>
              </w:rPr>
            </w:pPr>
          </w:p>
        </w:tc>
      </w:tr>
    </w:tbl>
    <w:p>
      <w:pPr>
        <w:tabs>
          <w:tab w:val="left" w:pos="3828"/>
        </w:tabs>
        <w:spacing w:line="460" w:lineRule="exact"/>
        <w:outlineLvl w:val="0"/>
        <w:rPr>
          <w:rFonts w:ascii="黑体" w:hAnsi="黑体" w:eastAsia="黑体"/>
          <w:b/>
          <w:spacing w:val="6"/>
          <w:sz w:val="30"/>
          <w:szCs w:val="30"/>
        </w:rPr>
      </w:pPr>
      <w:r>
        <w:rPr>
          <w:rFonts w:hint="eastAsia" w:ascii="黑体" w:hAnsi="黑体" w:eastAsia="黑体"/>
          <w:b/>
          <w:spacing w:val="6"/>
          <w:sz w:val="30"/>
          <w:szCs w:val="30"/>
        </w:rPr>
        <w:t>六、</w:t>
      </w:r>
      <w:r>
        <w:rPr>
          <w:rFonts w:ascii="黑体" w:hAnsi="黑体" w:eastAsia="黑体"/>
          <w:b/>
          <w:spacing w:val="6"/>
          <w:sz w:val="30"/>
          <w:szCs w:val="30"/>
        </w:rPr>
        <w:t>项目主要污染物产生及预计排放情况</w:t>
      </w:r>
    </w:p>
    <w:tbl>
      <w:tblPr>
        <w:tblStyle w:val="29"/>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400"/>
        <w:gridCol w:w="2158"/>
        <w:gridCol w:w="2342"/>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tcBorders>
              <w:tl2br w:val="single" w:color="auto" w:sz="4" w:space="0"/>
            </w:tcBorders>
          </w:tcPr>
          <w:p>
            <w:pPr>
              <w:spacing w:line="312" w:lineRule="auto"/>
              <w:rPr>
                <w:sz w:val="24"/>
              </w:rPr>
            </w:pPr>
            <w:r>
              <w:rPr>
                <w:sz w:val="24"/>
              </w:rPr>
              <w:t xml:space="preserve">  </w:t>
            </w:r>
            <w:r>
              <w:rPr>
                <w:rFonts w:hint="eastAsia"/>
                <w:sz w:val="24"/>
              </w:rPr>
              <w:t xml:space="preserve"> </w:t>
            </w:r>
            <w:r>
              <w:rPr>
                <w:sz w:val="24"/>
              </w:rPr>
              <w:t>内容</w:t>
            </w:r>
          </w:p>
          <w:p>
            <w:pPr>
              <w:spacing w:line="312" w:lineRule="auto"/>
              <w:rPr>
                <w:sz w:val="24"/>
              </w:rPr>
            </w:pPr>
            <w:r>
              <w:rPr>
                <w:sz w:val="24"/>
              </w:rPr>
              <w:t>类型</w:t>
            </w:r>
          </w:p>
        </w:tc>
        <w:tc>
          <w:tcPr>
            <w:tcW w:w="1400" w:type="dxa"/>
            <w:vAlign w:val="center"/>
          </w:tcPr>
          <w:p>
            <w:pPr>
              <w:spacing w:line="312" w:lineRule="auto"/>
              <w:jc w:val="center"/>
              <w:rPr>
                <w:sz w:val="24"/>
              </w:rPr>
            </w:pPr>
            <w:r>
              <w:rPr>
                <w:sz w:val="24"/>
              </w:rPr>
              <w:t>排放源</w:t>
            </w:r>
          </w:p>
          <w:p>
            <w:pPr>
              <w:spacing w:line="312" w:lineRule="auto"/>
              <w:jc w:val="center"/>
              <w:rPr>
                <w:sz w:val="24"/>
              </w:rPr>
            </w:pPr>
            <w:r>
              <w:rPr>
                <w:sz w:val="24"/>
              </w:rPr>
              <w:t>（编号）</w:t>
            </w:r>
          </w:p>
        </w:tc>
        <w:tc>
          <w:tcPr>
            <w:tcW w:w="2158" w:type="dxa"/>
            <w:vAlign w:val="center"/>
          </w:tcPr>
          <w:p>
            <w:pPr>
              <w:spacing w:line="312" w:lineRule="auto"/>
              <w:jc w:val="center"/>
              <w:rPr>
                <w:sz w:val="24"/>
              </w:rPr>
            </w:pPr>
            <w:r>
              <w:rPr>
                <w:sz w:val="24"/>
              </w:rPr>
              <w:t>污染物</w:t>
            </w:r>
          </w:p>
          <w:p>
            <w:pPr>
              <w:spacing w:line="312" w:lineRule="auto"/>
              <w:jc w:val="center"/>
              <w:rPr>
                <w:sz w:val="24"/>
              </w:rPr>
            </w:pPr>
            <w:r>
              <w:rPr>
                <w:sz w:val="24"/>
              </w:rPr>
              <w:t>名  称</w:t>
            </w:r>
          </w:p>
        </w:tc>
        <w:tc>
          <w:tcPr>
            <w:tcW w:w="2342" w:type="dxa"/>
            <w:vAlign w:val="center"/>
          </w:tcPr>
          <w:p>
            <w:pPr>
              <w:spacing w:line="312" w:lineRule="auto"/>
              <w:jc w:val="center"/>
              <w:rPr>
                <w:sz w:val="24"/>
              </w:rPr>
            </w:pPr>
            <w:r>
              <w:rPr>
                <w:sz w:val="24"/>
              </w:rPr>
              <w:t>处理前产生浓度及产生量（单位）</w:t>
            </w:r>
          </w:p>
        </w:tc>
        <w:tc>
          <w:tcPr>
            <w:tcW w:w="2340" w:type="dxa"/>
            <w:vAlign w:val="center"/>
          </w:tcPr>
          <w:p>
            <w:pPr>
              <w:spacing w:line="312" w:lineRule="auto"/>
              <w:jc w:val="center"/>
              <w:rPr>
                <w:sz w:val="24"/>
              </w:rPr>
            </w:pPr>
            <w:r>
              <w:rPr>
                <w:sz w:val="24"/>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restart"/>
            <w:vAlign w:val="center"/>
          </w:tcPr>
          <w:p>
            <w:pPr>
              <w:spacing w:line="312" w:lineRule="auto"/>
              <w:jc w:val="center"/>
              <w:rPr>
                <w:spacing w:val="6"/>
                <w:sz w:val="24"/>
              </w:rPr>
            </w:pPr>
            <w:r>
              <w:rPr>
                <w:spacing w:val="6"/>
                <w:sz w:val="24"/>
              </w:rPr>
              <w:t>大气</w:t>
            </w:r>
          </w:p>
          <w:p>
            <w:pPr>
              <w:spacing w:line="312" w:lineRule="auto"/>
              <w:jc w:val="center"/>
              <w:rPr>
                <w:spacing w:val="6"/>
                <w:sz w:val="24"/>
              </w:rPr>
            </w:pPr>
            <w:r>
              <w:rPr>
                <w:spacing w:val="6"/>
                <w:sz w:val="24"/>
              </w:rPr>
              <w:t>污染物</w:t>
            </w:r>
          </w:p>
        </w:tc>
        <w:tc>
          <w:tcPr>
            <w:tcW w:w="1400" w:type="dxa"/>
            <w:vMerge w:val="restart"/>
            <w:vAlign w:val="center"/>
          </w:tcPr>
          <w:p>
            <w:pPr>
              <w:spacing w:line="312" w:lineRule="auto"/>
              <w:jc w:val="center"/>
              <w:rPr>
                <w:spacing w:val="6"/>
                <w:sz w:val="24"/>
              </w:rPr>
            </w:pPr>
            <w:r>
              <w:rPr>
                <w:rFonts w:hint="eastAsia"/>
                <w:spacing w:val="6"/>
                <w:sz w:val="24"/>
              </w:rPr>
              <w:t>滚子摇臂、可变滚子摇臂、张紧器热处理废气</w:t>
            </w:r>
          </w:p>
        </w:tc>
        <w:tc>
          <w:tcPr>
            <w:tcW w:w="2158" w:type="dxa"/>
            <w:vAlign w:val="center"/>
          </w:tcPr>
          <w:p>
            <w:pPr>
              <w:widowControl/>
              <w:spacing w:line="312" w:lineRule="auto"/>
              <w:jc w:val="center"/>
              <w:rPr>
                <w:kern w:val="0"/>
                <w:sz w:val="24"/>
              </w:rPr>
            </w:pPr>
            <w:r>
              <w:rPr>
                <w:rFonts w:hint="eastAsia"/>
                <w:kern w:val="0"/>
                <w:sz w:val="24"/>
              </w:rPr>
              <w:t>非甲烷总烃</w:t>
            </w:r>
          </w:p>
        </w:tc>
        <w:tc>
          <w:tcPr>
            <w:tcW w:w="2342" w:type="dxa"/>
            <w:vAlign w:val="center"/>
          </w:tcPr>
          <w:p>
            <w:pPr>
              <w:widowControl/>
              <w:spacing w:line="312" w:lineRule="auto"/>
              <w:jc w:val="center"/>
              <w:rPr>
                <w:kern w:val="0"/>
                <w:sz w:val="24"/>
              </w:rPr>
            </w:pPr>
            <w:r>
              <w:rPr>
                <w:rFonts w:hint="eastAsia"/>
                <w:kern w:val="0"/>
                <w:sz w:val="24"/>
              </w:rPr>
              <w:t>3.51mg/m</w:t>
            </w:r>
            <w:r>
              <w:rPr>
                <w:rFonts w:hint="eastAsia"/>
                <w:kern w:val="0"/>
                <w:sz w:val="24"/>
                <w:vertAlign w:val="superscript"/>
              </w:rPr>
              <w:t>3</w:t>
            </w:r>
            <w:r>
              <w:rPr>
                <w:rFonts w:hint="eastAsia"/>
                <w:kern w:val="0"/>
                <w:sz w:val="24"/>
              </w:rPr>
              <w:t>、0.044t/a</w:t>
            </w:r>
          </w:p>
        </w:tc>
        <w:tc>
          <w:tcPr>
            <w:tcW w:w="2340" w:type="dxa"/>
            <w:vAlign w:val="center"/>
          </w:tcPr>
          <w:p>
            <w:pPr>
              <w:widowControl/>
              <w:spacing w:line="312" w:lineRule="auto"/>
              <w:jc w:val="center"/>
              <w:rPr>
                <w:kern w:val="0"/>
                <w:sz w:val="24"/>
              </w:rPr>
            </w:pPr>
            <w:r>
              <w:rPr>
                <w:rFonts w:hint="eastAsia"/>
                <w:kern w:val="0"/>
                <w:sz w:val="24"/>
              </w:rPr>
              <w:t>3.51mg/m</w:t>
            </w:r>
            <w:r>
              <w:rPr>
                <w:rFonts w:hint="eastAsia"/>
                <w:kern w:val="0"/>
                <w:sz w:val="24"/>
                <w:vertAlign w:val="superscript"/>
              </w:rPr>
              <w:t>3</w:t>
            </w:r>
            <w:r>
              <w:rPr>
                <w:rFonts w:hint="eastAsia"/>
                <w:kern w:val="0"/>
                <w:sz w:val="24"/>
              </w:rPr>
              <w:t>、0.044t/a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widowControl/>
              <w:spacing w:line="312" w:lineRule="auto"/>
              <w:jc w:val="center"/>
              <w:rPr>
                <w:kern w:val="0"/>
                <w:sz w:val="24"/>
              </w:rPr>
            </w:pPr>
            <w:r>
              <w:rPr>
                <w:rFonts w:hint="eastAsia"/>
                <w:kern w:val="0"/>
                <w:sz w:val="24"/>
              </w:rPr>
              <w:t>氮氧化物</w:t>
            </w:r>
          </w:p>
        </w:tc>
        <w:tc>
          <w:tcPr>
            <w:tcW w:w="2342" w:type="dxa"/>
            <w:vAlign w:val="center"/>
          </w:tcPr>
          <w:p>
            <w:pPr>
              <w:widowControl/>
              <w:spacing w:line="312" w:lineRule="auto"/>
              <w:jc w:val="center"/>
              <w:rPr>
                <w:kern w:val="0"/>
                <w:sz w:val="24"/>
              </w:rPr>
            </w:pPr>
            <w:r>
              <w:rPr>
                <w:rFonts w:hint="eastAsia"/>
                <w:kern w:val="0"/>
                <w:sz w:val="24"/>
              </w:rPr>
              <w:t>11.538mg/m</w:t>
            </w:r>
            <w:r>
              <w:rPr>
                <w:rFonts w:hint="eastAsia"/>
                <w:kern w:val="0"/>
                <w:sz w:val="24"/>
                <w:vertAlign w:val="superscript"/>
              </w:rPr>
              <w:t>3</w:t>
            </w:r>
            <w:r>
              <w:rPr>
                <w:rFonts w:hint="eastAsia"/>
                <w:kern w:val="0"/>
                <w:sz w:val="24"/>
              </w:rPr>
              <w:t>、0.026t/a</w:t>
            </w:r>
          </w:p>
        </w:tc>
        <w:tc>
          <w:tcPr>
            <w:tcW w:w="2340" w:type="dxa"/>
            <w:vAlign w:val="center"/>
          </w:tcPr>
          <w:p>
            <w:pPr>
              <w:widowControl/>
              <w:spacing w:line="312" w:lineRule="auto"/>
              <w:jc w:val="center"/>
              <w:rPr>
                <w:kern w:val="0"/>
                <w:sz w:val="24"/>
              </w:rPr>
            </w:pPr>
            <w:r>
              <w:rPr>
                <w:rFonts w:hint="eastAsia"/>
                <w:kern w:val="0"/>
                <w:sz w:val="24"/>
              </w:rPr>
              <w:t>11.538mg/m</w:t>
            </w:r>
            <w:r>
              <w:rPr>
                <w:rFonts w:hint="eastAsia"/>
                <w:kern w:val="0"/>
                <w:sz w:val="24"/>
                <w:vertAlign w:val="superscript"/>
              </w:rPr>
              <w:t>3</w:t>
            </w:r>
            <w:r>
              <w:rPr>
                <w:rFonts w:hint="eastAsia"/>
                <w:kern w:val="0"/>
                <w:sz w:val="24"/>
              </w:rPr>
              <w:t>、0.026t/a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restart"/>
            <w:vAlign w:val="center"/>
          </w:tcPr>
          <w:p>
            <w:pPr>
              <w:spacing w:line="312" w:lineRule="auto"/>
              <w:jc w:val="center"/>
              <w:rPr>
                <w:spacing w:val="6"/>
                <w:sz w:val="24"/>
              </w:rPr>
            </w:pPr>
            <w:r>
              <w:rPr>
                <w:rFonts w:hint="eastAsia"/>
                <w:spacing w:val="6"/>
                <w:sz w:val="24"/>
              </w:rPr>
              <w:t>轮毂轴承热处理废气</w:t>
            </w:r>
          </w:p>
        </w:tc>
        <w:tc>
          <w:tcPr>
            <w:tcW w:w="2158" w:type="dxa"/>
            <w:vAlign w:val="center"/>
          </w:tcPr>
          <w:p>
            <w:pPr>
              <w:widowControl/>
              <w:spacing w:line="312" w:lineRule="auto"/>
              <w:jc w:val="center"/>
              <w:rPr>
                <w:kern w:val="0"/>
                <w:sz w:val="24"/>
              </w:rPr>
            </w:pPr>
            <w:r>
              <w:rPr>
                <w:rFonts w:hint="eastAsia"/>
                <w:kern w:val="0"/>
                <w:sz w:val="24"/>
              </w:rPr>
              <w:t>非甲烷总烃</w:t>
            </w:r>
          </w:p>
        </w:tc>
        <w:tc>
          <w:tcPr>
            <w:tcW w:w="2342" w:type="dxa"/>
            <w:vAlign w:val="center"/>
          </w:tcPr>
          <w:p>
            <w:pPr>
              <w:widowControl/>
              <w:spacing w:line="312" w:lineRule="auto"/>
              <w:jc w:val="center"/>
              <w:rPr>
                <w:kern w:val="0"/>
                <w:sz w:val="24"/>
              </w:rPr>
            </w:pPr>
            <w:r>
              <w:rPr>
                <w:rFonts w:hint="eastAsia"/>
                <w:kern w:val="0"/>
                <w:sz w:val="24"/>
              </w:rPr>
              <w:t>3.51mg/m</w:t>
            </w:r>
            <w:r>
              <w:rPr>
                <w:rFonts w:hint="eastAsia"/>
                <w:kern w:val="0"/>
                <w:sz w:val="24"/>
                <w:vertAlign w:val="superscript"/>
              </w:rPr>
              <w:t>3</w:t>
            </w:r>
            <w:r>
              <w:rPr>
                <w:rFonts w:hint="eastAsia"/>
                <w:kern w:val="0"/>
                <w:sz w:val="24"/>
              </w:rPr>
              <w:t>、0.003t/a</w:t>
            </w:r>
          </w:p>
        </w:tc>
        <w:tc>
          <w:tcPr>
            <w:tcW w:w="2340" w:type="dxa"/>
            <w:vAlign w:val="center"/>
          </w:tcPr>
          <w:p>
            <w:pPr>
              <w:widowControl/>
              <w:spacing w:line="312" w:lineRule="auto"/>
              <w:jc w:val="center"/>
              <w:rPr>
                <w:kern w:val="0"/>
                <w:sz w:val="24"/>
              </w:rPr>
            </w:pPr>
            <w:r>
              <w:rPr>
                <w:rFonts w:hint="eastAsia"/>
                <w:kern w:val="0"/>
                <w:sz w:val="24"/>
              </w:rPr>
              <w:t>3.51mg/m</w:t>
            </w:r>
            <w:r>
              <w:rPr>
                <w:rFonts w:hint="eastAsia"/>
                <w:kern w:val="0"/>
                <w:sz w:val="24"/>
                <w:vertAlign w:val="superscript"/>
              </w:rPr>
              <w:t>3</w:t>
            </w:r>
            <w:r>
              <w:rPr>
                <w:rFonts w:hint="eastAsia"/>
                <w:kern w:val="0"/>
                <w:sz w:val="24"/>
              </w:rPr>
              <w:t>、0.003t/a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widowControl/>
              <w:spacing w:line="312" w:lineRule="auto"/>
              <w:jc w:val="center"/>
              <w:rPr>
                <w:kern w:val="0"/>
                <w:sz w:val="24"/>
              </w:rPr>
            </w:pPr>
            <w:r>
              <w:rPr>
                <w:rFonts w:hint="eastAsia"/>
                <w:kern w:val="0"/>
                <w:sz w:val="24"/>
              </w:rPr>
              <w:t>氮氧化物</w:t>
            </w:r>
          </w:p>
        </w:tc>
        <w:tc>
          <w:tcPr>
            <w:tcW w:w="2342" w:type="dxa"/>
            <w:vAlign w:val="center"/>
          </w:tcPr>
          <w:p>
            <w:pPr>
              <w:widowControl/>
              <w:spacing w:line="312" w:lineRule="auto"/>
              <w:jc w:val="center"/>
              <w:rPr>
                <w:kern w:val="0"/>
                <w:sz w:val="24"/>
              </w:rPr>
            </w:pPr>
            <w:r>
              <w:rPr>
                <w:rFonts w:hint="eastAsia"/>
                <w:kern w:val="0"/>
                <w:sz w:val="24"/>
              </w:rPr>
              <w:t>11.538mg/m</w:t>
            </w:r>
            <w:r>
              <w:rPr>
                <w:rFonts w:hint="eastAsia"/>
                <w:kern w:val="0"/>
                <w:sz w:val="24"/>
                <w:vertAlign w:val="superscript"/>
              </w:rPr>
              <w:t>3</w:t>
            </w:r>
            <w:r>
              <w:rPr>
                <w:rFonts w:hint="eastAsia"/>
                <w:kern w:val="0"/>
                <w:sz w:val="24"/>
              </w:rPr>
              <w:t>、0.017t/a</w:t>
            </w:r>
          </w:p>
        </w:tc>
        <w:tc>
          <w:tcPr>
            <w:tcW w:w="2340" w:type="dxa"/>
            <w:vAlign w:val="center"/>
          </w:tcPr>
          <w:p>
            <w:pPr>
              <w:widowControl/>
              <w:spacing w:line="312" w:lineRule="auto"/>
              <w:jc w:val="center"/>
              <w:rPr>
                <w:kern w:val="0"/>
                <w:sz w:val="24"/>
              </w:rPr>
            </w:pPr>
            <w:r>
              <w:rPr>
                <w:rFonts w:hint="eastAsia"/>
                <w:kern w:val="0"/>
                <w:sz w:val="24"/>
              </w:rPr>
              <w:t>11.538mg/m</w:t>
            </w:r>
            <w:r>
              <w:rPr>
                <w:rFonts w:hint="eastAsia"/>
                <w:kern w:val="0"/>
                <w:sz w:val="24"/>
                <w:vertAlign w:val="superscript"/>
              </w:rPr>
              <w:t>3</w:t>
            </w:r>
            <w:r>
              <w:rPr>
                <w:rFonts w:hint="eastAsia"/>
                <w:kern w:val="0"/>
                <w:sz w:val="24"/>
              </w:rPr>
              <w:t>、0.017t/a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Align w:val="center"/>
          </w:tcPr>
          <w:p>
            <w:pPr>
              <w:spacing w:line="312" w:lineRule="auto"/>
              <w:jc w:val="center"/>
              <w:rPr>
                <w:spacing w:val="6"/>
                <w:sz w:val="24"/>
              </w:rPr>
            </w:pPr>
            <w:r>
              <w:rPr>
                <w:rFonts w:hint="eastAsia"/>
                <w:spacing w:val="6"/>
                <w:sz w:val="24"/>
              </w:rPr>
              <w:t>清洗废气</w:t>
            </w:r>
          </w:p>
        </w:tc>
        <w:tc>
          <w:tcPr>
            <w:tcW w:w="2158" w:type="dxa"/>
            <w:vAlign w:val="center"/>
          </w:tcPr>
          <w:p>
            <w:pPr>
              <w:widowControl/>
              <w:spacing w:line="312" w:lineRule="auto"/>
              <w:jc w:val="center"/>
              <w:rPr>
                <w:kern w:val="0"/>
                <w:sz w:val="24"/>
              </w:rPr>
            </w:pPr>
            <w:r>
              <w:rPr>
                <w:rFonts w:hint="eastAsia"/>
                <w:kern w:val="0"/>
                <w:sz w:val="24"/>
              </w:rPr>
              <w:t>挥发性有机化合物</w:t>
            </w:r>
          </w:p>
        </w:tc>
        <w:tc>
          <w:tcPr>
            <w:tcW w:w="2342" w:type="dxa"/>
            <w:vAlign w:val="center"/>
          </w:tcPr>
          <w:p>
            <w:pPr>
              <w:widowControl/>
              <w:spacing w:line="312" w:lineRule="auto"/>
              <w:jc w:val="center"/>
              <w:rPr>
                <w:kern w:val="0"/>
                <w:sz w:val="24"/>
              </w:rPr>
            </w:pPr>
            <w:r>
              <w:rPr>
                <w:rFonts w:hint="eastAsia"/>
                <w:kern w:val="0"/>
                <w:sz w:val="24"/>
              </w:rPr>
              <w:t>0.0975mg/m</w:t>
            </w:r>
            <w:r>
              <w:rPr>
                <w:rFonts w:hint="eastAsia"/>
                <w:kern w:val="0"/>
                <w:sz w:val="24"/>
                <w:vertAlign w:val="superscript"/>
              </w:rPr>
              <w:t>3</w:t>
            </w:r>
            <w:r>
              <w:rPr>
                <w:rFonts w:hint="eastAsia"/>
                <w:kern w:val="0"/>
                <w:sz w:val="24"/>
              </w:rPr>
              <w:t>、0.2232t/a</w:t>
            </w:r>
          </w:p>
        </w:tc>
        <w:tc>
          <w:tcPr>
            <w:tcW w:w="2340" w:type="dxa"/>
            <w:vAlign w:val="center"/>
          </w:tcPr>
          <w:p>
            <w:pPr>
              <w:widowControl/>
              <w:spacing w:line="312" w:lineRule="auto"/>
              <w:jc w:val="center"/>
              <w:rPr>
                <w:kern w:val="0"/>
                <w:sz w:val="24"/>
              </w:rPr>
            </w:pPr>
            <w:r>
              <w:rPr>
                <w:rFonts w:hint="eastAsia"/>
                <w:kern w:val="0"/>
                <w:sz w:val="24"/>
              </w:rPr>
              <w:t>0.0975mg/m</w:t>
            </w:r>
            <w:r>
              <w:rPr>
                <w:rFonts w:hint="eastAsia"/>
                <w:kern w:val="0"/>
                <w:sz w:val="24"/>
                <w:vertAlign w:val="superscript"/>
              </w:rPr>
              <w:t>3</w:t>
            </w:r>
            <w:r>
              <w:rPr>
                <w:rFonts w:hint="eastAsia"/>
                <w:kern w:val="0"/>
                <w:sz w:val="24"/>
              </w:rPr>
              <w:t>、0.2232t/a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Align w:val="center"/>
          </w:tcPr>
          <w:p>
            <w:pPr>
              <w:spacing w:line="312" w:lineRule="auto"/>
              <w:jc w:val="center"/>
              <w:rPr>
                <w:spacing w:val="6"/>
                <w:sz w:val="24"/>
              </w:rPr>
            </w:pPr>
            <w:r>
              <w:rPr>
                <w:rFonts w:hint="eastAsia"/>
                <w:spacing w:val="6"/>
                <w:sz w:val="24"/>
              </w:rPr>
              <w:t>注塑废气</w:t>
            </w:r>
          </w:p>
        </w:tc>
        <w:tc>
          <w:tcPr>
            <w:tcW w:w="2158" w:type="dxa"/>
            <w:vAlign w:val="center"/>
          </w:tcPr>
          <w:p>
            <w:pPr>
              <w:widowControl/>
              <w:spacing w:line="312" w:lineRule="auto"/>
              <w:jc w:val="center"/>
              <w:rPr>
                <w:kern w:val="0"/>
                <w:sz w:val="24"/>
              </w:rPr>
            </w:pPr>
            <w:r>
              <w:rPr>
                <w:rFonts w:hint="eastAsia"/>
                <w:kern w:val="0"/>
                <w:sz w:val="24"/>
              </w:rPr>
              <w:t>挥发性有机化合物</w:t>
            </w:r>
          </w:p>
        </w:tc>
        <w:tc>
          <w:tcPr>
            <w:tcW w:w="2342" w:type="dxa"/>
            <w:vAlign w:val="center"/>
          </w:tcPr>
          <w:p>
            <w:pPr>
              <w:widowControl/>
              <w:spacing w:line="312" w:lineRule="auto"/>
              <w:jc w:val="center"/>
              <w:rPr>
                <w:kern w:val="0"/>
                <w:sz w:val="24"/>
              </w:rPr>
            </w:pPr>
            <w:r>
              <w:rPr>
                <w:rFonts w:hint="eastAsia"/>
                <w:kern w:val="0"/>
                <w:sz w:val="24"/>
              </w:rPr>
              <w:t>0.207t/a</w:t>
            </w:r>
          </w:p>
        </w:tc>
        <w:tc>
          <w:tcPr>
            <w:tcW w:w="2340" w:type="dxa"/>
            <w:vAlign w:val="center"/>
          </w:tcPr>
          <w:p>
            <w:pPr>
              <w:widowControl/>
              <w:spacing w:line="312" w:lineRule="auto"/>
              <w:jc w:val="center"/>
              <w:rPr>
                <w:kern w:val="0"/>
                <w:sz w:val="24"/>
              </w:rPr>
            </w:pPr>
            <w:r>
              <w:rPr>
                <w:rFonts w:hint="eastAsia"/>
                <w:kern w:val="0"/>
                <w:sz w:val="24"/>
              </w:rPr>
              <w:t>0.207t/a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Align w:val="center"/>
          </w:tcPr>
          <w:p>
            <w:pPr>
              <w:spacing w:line="312" w:lineRule="auto"/>
              <w:jc w:val="center"/>
              <w:rPr>
                <w:spacing w:val="6"/>
                <w:sz w:val="24"/>
              </w:rPr>
            </w:pPr>
            <w:r>
              <w:rPr>
                <w:rFonts w:hint="eastAsia"/>
                <w:spacing w:val="6"/>
                <w:sz w:val="24"/>
              </w:rPr>
              <w:t>油烟废气</w:t>
            </w:r>
          </w:p>
        </w:tc>
        <w:tc>
          <w:tcPr>
            <w:tcW w:w="2158" w:type="dxa"/>
            <w:vAlign w:val="center"/>
          </w:tcPr>
          <w:p>
            <w:pPr>
              <w:widowControl/>
              <w:spacing w:line="312" w:lineRule="auto"/>
              <w:jc w:val="center"/>
              <w:rPr>
                <w:rFonts w:hAnsi="宋体"/>
                <w:kern w:val="0"/>
                <w:sz w:val="24"/>
              </w:rPr>
            </w:pPr>
            <w:r>
              <w:rPr>
                <w:rFonts w:hint="eastAsia" w:hAnsi="宋体"/>
                <w:kern w:val="0"/>
                <w:sz w:val="24"/>
              </w:rPr>
              <w:t>油烟</w:t>
            </w:r>
          </w:p>
        </w:tc>
        <w:tc>
          <w:tcPr>
            <w:tcW w:w="2342" w:type="dxa"/>
            <w:vAlign w:val="center"/>
          </w:tcPr>
          <w:p>
            <w:pPr>
              <w:widowControl/>
              <w:spacing w:line="312" w:lineRule="auto"/>
              <w:jc w:val="center"/>
              <w:rPr>
                <w:kern w:val="0"/>
                <w:sz w:val="24"/>
              </w:rPr>
            </w:pPr>
            <w:r>
              <w:rPr>
                <w:rFonts w:hint="eastAsia"/>
                <w:kern w:val="0"/>
                <w:sz w:val="24"/>
              </w:rPr>
              <w:t>0.154t/a</w:t>
            </w:r>
          </w:p>
        </w:tc>
        <w:tc>
          <w:tcPr>
            <w:tcW w:w="2340" w:type="dxa"/>
            <w:vAlign w:val="center"/>
          </w:tcPr>
          <w:p>
            <w:pPr>
              <w:widowControl/>
              <w:spacing w:line="312" w:lineRule="auto"/>
              <w:jc w:val="center"/>
              <w:rPr>
                <w:kern w:val="0"/>
                <w:sz w:val="24"/>
              </w:rPr>
            </w:pPr>
            <w:r>
              <w:rPr>
                <w:rFonts w:hint="eastAsia"/>
                <w:kern w:val="0"/>
                <w:sz w:val="24"/>
              </w:rPr>
              <w:t>0.154t/a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restart"/>
            <w:vAlign w:val="center"/>
          </w:tcPr>
          <w:p>
            <w:pPr>
              <w:spacing w:line="312" w:lineRule="auto"/>
              <w:jc w:val="center"/>
              <w:rPr>
                <w:spacing w:val="6"/>
                <w:sz w:val="24"/>
              </w:rPr>
            </w:pPr>
            <w:r>
              <w:rPr>
                <w:spacing w:val="6"/>
                <w:sz w:val="24"/>
              </w:rPr>
              <w:t>水</w:t>
            </w:r>
          </w:p>
          <w:p>
            <w:pPr>
              <w:spacing w:line="312" w:lineRule="auto"/>
              <w:jc w:val="center"/>
              <w:rPr>
                <w:spacing w:val="6"/>
                <w:sz w:val="24"/>
              </w:rPr>
            </w:pPr>
            <w:r>
              <w:rPr>
                <w:spacing w:val="6"/>
                <w:sz w:val="24"/>
              </w:rPr>
              <w:t>污</w:t>
            </w:r>
          </w:p>
          <w:p>
            <w:pPr>
              <w:spacing w:line="312" w:lineRule="auto"/>
              <w:jc w:val="center"/>
              <w:rPr>
                <w:spacing w:val="6"/>
                <w:sz w:val="24"/>
              </w:rPr>
            </w:pPr>
            <w:r>
              <w:rPr>
                <w:spacing w:val="6"/>
                <w:sz w:val="24"/>
              </w:rPr>
              <w:t>染</w:t>
            </w:r>
          </w:p>
          <w:p>
            <w:pPr>
              <w:spacing w:line="312" w:lineRule="auto"/>
              <w:jc w:val="center"/>
              <w:rPr>
                <w:spacing w:val="6"/>
                <w:sz w:val="24"/>
              </w:rPr>
            </w:pPr>
            <w:r>
              <w:rPr>
                <w:spacing w:val="6"/>
                <w:sz w:val="24"/>
              </w:rPr>
              <w:t>物</w:t>
            </w:r>
          </w:p>
        </w:tc>
        <w:tc>
          <w:tcPr>
            <w:tcW w:w="1400" w:type="dxa"/>
            <w:vMerge w:val="restart"/>
            <w:vAlign w:val="center"/>
          </w:tcPr>
          <w:p>
            <w:pPr>
              <w:spacing w:line="312" w:lineRule="auto"/>
              <w:jc w:val="center"/>
              <w:rPr>
                <w:spacing w:val="6"/>
                <w:sz w:val="24"/>
              </w:rPr>
            </w:pPr>
            <w:r>
              <w:rPr>
                <w:rFonts w:hint="eastAsia"/>
                <w:spacing w:val="6"/>
                <w:sz w:val="24"/>
              </w:rPr>
              <w:t>生产、</w:t>
            </w:r>
            <w:r>
              <w:rPr>
                <w:spacing w:val="6"/>
                <w:sz w:val="24"/>
              </w:rPr>
              <w:t>生活污水</w:t>
            </w:r>
            <w:r>
              <w:rPr>
                <w:rFonts w:hint="eastAsia"/>
                <w:spacing w:val="6"/>
                <w:sz w:val="24"/>
              </w:rPr>
              <w:t>：</w:t>
            </w:r>
          </w:p>
          <w:p>
            <w:pPr>
              <w:spacing w:line="312" w:lineRule="auto"/>
              <w:jc w:val="center"/>
              <w:rPr>
                <w:spacing w:val="6"/>
                <w:sz w:val="24"/>
              </w:rPr>
            </w:pPr>
            <w:r>
              <w:rPr>
                <w:rFonts w:hint="eastAsia"/>
                <w:spacing w:val="6"/>
                <w:sz w:val="24"/>
              </w:rPr>
              <w:t>18864m</w:t>
            </w:r>
            <w:r>
              <w:rPr>
                <w:rFonts w:hint="eastAsia"/>
                <w:spacing w:val="6"/>
                <w:sz w:val="24"/>
                <w:vertAlign w:val="superscript"/>
              </w:rPr>
              <w:t>3</w:t>
            </w:r>
            <w:r>
              <w:rPr>
                <w:rFonts w:hint="eastAsia"/>
                <w:spacing w:val="6"/>
                <w:sz w:val="24"/>
              </w:rPr>
              <w:t>/a</w:t>
            </w:r>
          </w:p>
        </w:tc>
        <w:tc>
          <w:tcPr>
            <w:tcW w:w="2158" w:type="dxa"/>
            <w:vAlign w:val="center"/>
          </w:tcPr>
          <w:p>
            <w:pPr>
              <w:spacing w:line="312" w:lineRule="auto"/>
              <w:jc w:val="center"/>
              <w:rPr>
                <w:sz w:val="24"/>
              </w:rPr>
            </w:pPr>
            <w:r>
              <w:rPr>
                <w:sz w:val="24"/>
              </w:rPr>
              <w:t>COD</w:t>
            </w:r>
          </w:p>
        </w:tc>
        <w:tc>
          <w:tcPr>
            <w:tcW w:w="2342" w:type="dxa"/>
            <w:vAlign w:val="center"/>
          </w:tcPr>
          <w:p>
            <w:pPr>
              <w:spacing w:line="312" w:lineRule="auto"/>
              <w:jc w:val="center"/>
              <w:rPr>
                <w:bCs/>
                <w:sz w:val="24"/>
              </w:rPr>
            </w:pPr>
            <w:r>
              <w:rPr>
                <w:rFonts w:hint="eastAsia"/>
                <w:sz w:val="24"/>
              </w:rPr>
              <w:t>241.7</w:t>
            </w:r>
            <w:r>
              <w:rPr>
                <w:sz w:val="24"/>
              </w:rPr>
              <w:t>mg/L</w:t>
            </w:r>
            <w:r>
              <w:rPr>
                <w:rFonts w:hAnsi="宋体"/>
                <w:sz w:val="24"/>
              </w:rPr>
              <w:t>；</w:t>
            </w:r>
            <w:r>
              <w:rPr>
                <w:rFonts w:hint="eastAsia"/>
                <w:sz w:val="24"/>
              </w:rPr>
              <w:t>4.56</w:t>
            </w:r>
            <w:r>
              <w:rPr>
                <w:sz w:val="24"/>
              </w:rPr>
              <w:t>t/a</w:t>
            </w:r>
          </w:p>
        </w:tc>
        <w:tc>
          <w:tcPr>
            <w:tcW w:w="2340" w:type="dxa"/>
            <w:vAlign w:val="center"/>
          </w:tcPr>
          <w:p>
            <w:pPr>
              <w:spacing w:line="312" w:lineRule="auto"/>
              <w:jc w:val="center"/>
              <w:rPr>
                <w:bCs/>
                <w:sz w:val="24"/>
              </w:rPr>
            </w:pPr>
            <w:r>
              <w:rPr>
                <w:sz w:val="24"/>
              </w:rPr>
              <w:t>50mg/L</w:t>
            </w:r>
            <w:r>
              <w:rPr>
                <w:rFonts w:hAnsi="宋体"/>
                <w:sz w:val="24"/>
              </w:rPr>
              <w:t>；</w:t>
            </w:r>
            <w:r>
              <w:rPr>
                <w:sz w:val="24"/>
              </w:rPr>
              <w:t>0.</w:t>
            </w:r>
            <w:r>
              <w:rPr>
                <w:rFonts w:hint="eastAsia"/>
                <w:sz w:val="24"/>
              </w:rPr>
              <w:t>943</w:t>
            </w:r>
            <w:r>
              <w:rPr>
                <w:sz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sz w:val="24"/>
              </w:rPr>
              <w:t>BOD</w:t>
            </w:r>
            <w:r>
              <w:rPr>
                <w:sz w:val="24"/>
                <w:vertAlign w:val="subscript"/>
              </w:rPr>
              <w:t>5</w:t>
            </w:r>
          </w:p>
        </w:tc>
        <w:tc>
          <w:tcPr>
            <w:tcW w:w="2342" w:type="dxa"/>
            <w:vAlign w:val="bottom"/>
          </w:tcPr>
          <w:p>
            <w:pPr>
              <w:spacing w:line="312" w:lineRule="auto"/>
              <w:jc w:val="center"/>
              <w:rPr>
                <w:spacing w:val="6"/>
                <w:sz w:val="24"/>
              </w:rPr>
            </w:pPr>
            <w:r>
              <w:rPr>
                <w:rFonts w:hint="eastAsia"/>
                <w:sz w:val="24"/>
              </w:rPr>
              <w:t>96.7</w:t>
            </w:r>
            <w:r>
              <w:rPr>
                <w:sz w:val="24"/>
              </w:rPr>
              <w:t>mg/L</w:t>
            </w:r>
            <w:r>
              <w:rPr>
                <w:rFonts w:hAnsi="宋体"/>
                <w:sz w:val="24"/>
              </w:rPr>
              <w:t>；</w:t>
            </w:r>
            <w:r>
              <w:rPr>
                <w:rFonts w:hint="eastAsia"/>
                <w:sz w:val="24"/>
              </w:rPr>
              <w:t>1.824</w:t>
            </w:r>
            <w:r>
              <w:rPr>
                <w:sz w:val="24"/>
              </w:rPr>
              <w:t>t/a</w:t>
            </w:r>
          </w:p>
        </w:tc>
        <w:tc>
          <w:tcPr>
            <w:tcW w:w="2340" w:type="dxa"/>
            <w:vAlign w:val="bottom"/>
          </w:tcPr>
          <w:p>
            <w:pPr>
              <w:spacing w:line="312" w:lineRule="auto"/>
              <w:jc w:val="center"/>
              <w:rPr>
                <w:spacing w:val="6"/>
                <w:sz w:val="24"/>
              </w:rPr>
            </w:pPr>
            <w:r>
              <w:rPr>
                <w:sz w:val="24"/>
              </w:rPr>
              <w:t>10mg/L</w:t>
            </w:r>
            <w:r>
              <w:rPr>
                <w:rFonts w:hAnsi="宋体"/>
                <w:sz w:val="24"/>
              </w:rPr>
              <w:t>；</w:t>
            </w:r>
            <w:r>
              <w:rPr>
                <w:sz w:val="24"/>
              </w:rPr>
              <w:t>0.</w:t>
            </w:r>
            <w:r>
              <w:rPr>
                <w:rFonts w:hint="eastAsia"/>
                <w:sz w:val="24"/>
              </w:rPr>
              <w:t>189</w:t>
            </w:r>
            <w:r>
              <w:rPr>
                <w:sz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sz w:val="24"/>
              </w:rPr>
              <w:t>SS</w:t>
            </w:r>
          </w:p>
        </w:tc>
        <w:tc>
          <w:tcPr>
            <w:tcW w:w="2342" w:type="dxa"/>
            <w:vAlign w:val="bottom"/>
          </w:tcPr>
          <w:p>
            <w:pPr>
              <w:spacing w:line="312" w:lineRule="auto"/>
              <w:jc w:val="center"/>
              <w:rPr>
                <w:spacing w:val="6"/>
                <w:sz w:val="24"/>
              </w:rPr>
            </w:pPr>
            <w:r>
              <w:rPr>
                <w:rFonts w:hint="eastAsia"/>
                <w:sz w:val="24"/>
              </w:rPr>
              <w:t>110</w:t>
            </w:r>
            <w:r>
              <w:rPr>
                <w:sz w:val="24"/>
              </w:rPr>
              <w:t>mg/L</w:t>
            </w:r>
            <w:r>
              <w:rPr>
                <w:rFonts w:hAnsi="宋体"/>
                <w:sz w:val="24"/>
              </w:rPr>
              <w:t>；</w:t>
            </w:r>
            <w:r>
              <w:rPr>
                <w:rFonts w:hint="eastAsia"/>
                <w:sz w:val="24"/>
              </w:rPr>
              <w:t>2.075</w:t>
            </w:r>
            <w:r>
              <w:rPr>
                <w:sz w:val="24"/>
              </w:rPr>
              <w:t>t/a</w:t>
            </w:r>
          </w:p>
        </w:tc>
        <w:tc>
          <w:tcPr>
            <w:tcW w:w="2340" w:type="dxa"/>
            <w:vAlign w:val="bottom"/>
          </w:tcPr>
          <w:p>
            <w:pPr>
              <w:spacing w:line="312" w:lineRule="auto"/>
              <w:jc w:val="center"/>
              <w:rPr>
                <w:spacing w:val="6"/>
                <w:sz w:val="24"/>
              </w:rPr>
            </w:pPr>
            <w:r>
              <w:rPr>
                <w:sz w:val="24"/>
              </w:rPr>
              <w:t>10mg/L</w:t>
            </w:r>
            <w:r>
              <w:rPr>
                <w:rFonts w:hAnsi="宋体"/>
                <w:sz w:val="24"/>
              </w:rPr>
              <w:t>；</w:t>
            </w:r>
            <w:r>
              <w:rPr>
                <w:sz w:val="24"/>
              </w:rPr>
              <w:t>0.</w:t>
            </w:r>
            <w:r>
              <w:rPr>
                <w:rFonts w:hint="eastAsia"/>
                <w:sz w:val="24"/>
              </w:rPr>
              <w:t>189</w:t>
            </w:r>
            <w:r>
              <w:rPr>
                <w:sz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rFonts w:hint="eastAsia"/>
                <w:sz w:val="24"/>
              </w:rPr>
              <w:t>氨氮</w:t>
            </w:r>
          </w:p>
        </w:tc>
        <w:tc>
          <w:tcPr>
            <w:tcW w:w="2342" w:type="dxa"/>
            <w:vAlign w:val="bottom"/>
          </w:tcPr>
          <w:p>
            <w:pPr>
              <w:spacing w:line="312" w:lineRule="auto"/>
              <w:jc w:val="center"/>
              <w:rPr>
                <w:spacing w:val="6"/>
                <w:sz w:val="24"/>
              </w:rPr>
            </w:pPr>
            <w:r>
              <w:rPr>
                <w:rFonts w:hint="eastAsia"/>
                <w:sz w:val="24"/>
              </w:rPr>
              <w:t>29</w:t>
            </w:r>
            <w:r>
              <w:rPr>
                <w:sz w:val="24"/>
              </w:rPr>
              <w:t>mg/L</w:t>
            </w:r>
            <w:r>
              <w:rPr>
                <w:rFonts w:hAnsi="宋体"/>
                <w:sz w:val="24"/>
              </w:rPr>
              <w:t>；</w:t>
            </w:r>
            <w:r>
              <w:rPr>
                <w:rFonts w:hint="eastAsia"/>
                <w:sz w:val="24"/>
              </w:rPr>
              <w:t>0.547</w:t>
            </w:r>
            <w:r>
              <w:rPr>
                <w:sz w:val="24"/>
              </w:rPr>
              <w:t>t/a</w:t>
            </w:r>
          </w:p>
        </w:tc>
        <w:tc>
          <w:tcPr>
            <w:tcW w:w="2340" w:type="dxa"/>
            <w:vAlign w:val="bottom"/>
          </w:tcPr>
          <w:p>
            <w:pPr>
              <w:spacing w:line="312" w:lineRule="auto"/>
              <w:jc w:val="center"/>
              <w:rPr>
                <w:spacing w:val="6"/>
                <w:sz w:val="24"/>
              </w:rPr>
            </w:pPr>
            <w:r>
              <w:rPr>
                <w:rFonts w:hint="eastAsia"/>
                <w:sz w:val="24"/>
              </w:rPr>
              <w:t>5</w:t>
            </w:r>
            <w:r>
              <w:rPr>
                <w:sz w:val="24"/>
              </w:rPr>
              <w:t>mg/L</w:t>
            </w:r>
            <w:r>
              <w:rPr>
                <w:rFonts w:hAnsi="宋体"/>
                <w:sz w:val="24"/>
              </w:rPr>
              <w:t>；</w:t>
            </w:r>
            <w:r>
              <w:rPr>
                <w:sz w:val="24"/>
              </w:rPr>
              <w:t>0.0</w:t>
            </w:r>
            <w:r>
              <w:rPr>
                <w:rFonts w:hint="eastAsia"/>
                <w:sz w:val="24"/>
              </w:rPr>
              <w:t>94</w:t>
            </w:r>
            <w:r>
              <w:rPr>
                <w:sz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rFonts w:hint="eastAsia"/>
                <w:sz w:val="24"/>
              </w:rPr>
              <w:t>动植物油</w:t>
            </w:r>
          </w:p>
        </w:tc>
        <w:tc>
          <w:tcPr>
            <w:tcW w:w="2342" w:type="dxa"/>
            <w:vAlign w:val="bottom"/>
          </w:tcPr>
          <w:p>
            <w:pPr>
              <w:spacing w:line="312" w:lineRule="auto"/>
              <w:jc w:val="center"/>
              <w:rPr>
                <w:spacing w:val="6"/>
                <w:sz w:val="24"/>
              </w:rPr>
            </w:pPr>
            <w:r>
              <w:rPr>
                <w:rFonts w:hint="eastAsia"/>
                <w:sz w:val="24"/>
              </w:rPr>
              <w:t>19.3</w:t>
            </w:r>
            <w:r>
              <w:rPr>
                <w:sz w:val="24"/>
              </w:rPr>
              <w:t>mg/L</w:t>
            </w:r>
            <w:r>
              <w:rPr>
                <w:rFonts w:hAnsi="宋体"/>
                <w:sz w:val="24"/>
              </w:rPr>
              <w:t>；</w:t>
            </w:r>
            <w:r>
              <w:rPr>
                <w:sz w:val="24"/>
              </w:rPr>
              <w:t>0.</w:t>
            </w:r>
            <w:r>
              <w:rPr>
                <w:rFonts w:hint="eastAsia"/>
                <w:sz w:val="24"/>
              </w:rPr>
              <w:t>364</w:t>
            </w:r>
            <w:r>
              <w:rPr>
                <w:sz w:val="24"/>
              </w:rPr>
              <w:t>t/a</w:t>
            </w:r>
          </w:p>
        </w:tc>
        <w:tc>
          <w:tcPr>
            <w:tcW w:w="2340" w:type="dxa"/>
            <w:vAlign w:val="bottom"/>
          </w:tcPr>
          <w:p>
            <w:pPr>
              <w:spacing w:line="312" w:lineRule="auto"/>
              <w:jc w:val="center"/>
              <w:rPr>
                <w:spacing w:val="6"/>
                <w:sz w:val="24"/>
              </w:rPr>
            </w:pPr>
            <w:r>
              <w:rPr>
                <w:rFonts w:hint="eastAsia"/>
                <w:sz w:val="24"/>
              </w:rPr>
              <w:t>1</w:t>
            </w:r>
            <w:r>
              <w:rPr>
                <w:sz w:val="24"/>
              </w:rPr>
              <w:t>mg/L</w:t>
            </w:r>
            <w:r>
              <w:rPr>
                <w:rFonts w:hAnsi="宋体"/>
                <w:sz w:val="24"/>
              </w:rPr>
              <w:t>；</w:t>
            </w:r>
            <w:r>
              <w:rPr>
                <w:sz w:val="24"/>
              </w:rPr>
              <w:t>0.0</w:t>
            </w:r>
            <w:r>
              <w:rPr>
                <w:rFonts w:hint="eastAsia"/>
                <w:sz w:val="24"/>
              </w:rPr>
              <w:t>19</w:t>
            </w:r>
            <w:r>
              <w:rPr>
                <w:sz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rFonts w:hint="eastAsia"/>
                <w:sz w:val="24"/>
              </w:rPr>
              <w:t>石油类</w:t>
            </w:r>
          </w:p>
        </w:tc>
        <w:tc>
          <w:tcPr>
            <w:tcW w:w="2342" w:type="dxa"/>
            <w:vAlign w:val="bottom"/>
          </w:tcPr>
          <w:p>
            <w:pPr>
              <w:spacing w:line="312" w:lineRule="auto"/>
              <w:jc w:val="center"/>
              <w:rPr>
                <w:spacing w:val="6"/>
                <w:sz w:val="24"/>
              </w:rPr>
            </w:pPr>
            <w:r>
              <w:rPr>
                <w:rFonts w:hint="eastAsia"/>
                <w:sz w:val="24"/>
              </w:rPr>
              <w:t>0.66</w:t>
            </w:r>
            <w:r>
              <w:rPr>
                <w:sz w:val="24"/>
              </w:rPr>
              <w:t>mg/L</w:t>
            </w:r>
            <w:r>
              <w:rPr>
                <w:rFonts w:hAnsi="宋体"/>
                <w:sz w:val="24"/>
              </w:rPr>
              <w:t>；</w:t>
            </w:r>
            <w:r>
              <w:rPr>
                <w:sz w:val="24"/>
              </w:rPr>
              <w:t>0.0</w:t>
            </w:r>
            <w:r>
              <w:rPr>
                <w:rFonts w:hint="eastAsia"/>
                <w:sz w:val="24"/>
              </w:rPr>
              <w:t>125</w:t>
            </w:r>
            <w:r>
              <w:rPr>
                <w:sz w:val="24"/>
              </w:rPr>
              <w:t>t/a</w:t>
            </w:r>
          </w:p>
        </w:tc>
        <w:tc>
          <w:tcPr>
            <w:tcW w:w="2340" w:type="dxa"/>
            <w:vAlign w:val="bottom"/>
          </w:tcPr>
          <w:p>
            <w:pPr>
              <w:spacing w:line="312" w:lineRule="auto"/>
              <w:jc w:val="center"/>
              <w:rPr>
                <w:spacing w:val="6"/>
                <w:sz w:val="24"/>
              </w:rPr>
            </w:pPr>
            <w:r>
              <w:rPr>
                <w:rFonts w:hint="eastAsia"/>
                <w:sz w:val="24"/>
              </w:rPr>
              <w:t>0.5</w:t>
            </w:r>
            <w:r>
              <w:rPr>
                <w:sz w:val="24"/>
              </w:rPr>
              <w:t>mg/L</w:t>
            </w:r>
            <w:r>
              <w:rPr>
                <w:rFonts w:hAnsi="宋体"/>
                <w:sz w:val="24"/>
              </w:rPr>
              <w:t>；</w:t>
            </w:r>
            <w:r>
              <w:rPr>
                <w:sz w:val="24"/>
              </w:rPr>
              <w:t>0.0</w:t>
            </w:r>
            <w:r>
              <w:rPr>
                <w:rFonts w:hint="eastAsia"/>
                <w:sz w:val="24"/>
              </w:rPr>
              <w:t>09</w:t>
            </w:r>
            <w:r>
              <w:rPr>
                <w:sz w:val="24"/>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restart"/>
            <w:vAlign w:val="center"/>
          </w:tcPr>
          <w:p>
            <w:pPr>
              <w:spacing w:line="312" w:lineRule="auto"/>
              <w:jc w:val="center"/>
              <w:rPr>
                <w:spacing w:val="6"/>
                <w:sz w:val="24"/>
              </w:rPr>
            </w:pPr>
            <w:r>
              <w:rPr>
                <w:spacing w:val="6"/>
                <w:sz w:val="24"/>
              </w:rPr>
              <w:t>固体</w:t>
            </w:r>
          </w:p>
          <w:p>
            <w:pPr>
              <w:spacing w:line="312" w:lineRule="auto"/>
              <w:jc w:val="center"/>
              <w:rPr>
                <w:spacing w:val="6"/>
                <w:sz w:val="24"/>
              </w:rPr>
            </w:pPr>
            <w:r>
              <w:rPr>
                <w:spacing w:val="6"/>
                <w:sz w:val="24"/>
              </w:rPr>
              <w:t>废物</w:t>
            </w:r>
          </w:p>
        </w:tc>
        <w:tc>
          <w:tcPr>
            <w:tcW w:w="1400" w:type="dxa"/>
            <w:vMerge w:val="restart"/>
            <w:vAlign w:val="center"/>
          </w:tcPr>
          <w:p>
            <w:pPr>
              <w:spacing w:line="312" w:lineRule="auto"/>
              <w:jc w:val="center"/>
              <w:rPr>
                <w:spacing w:val="6"/>
                <w:sz w:val="24"/>
              </w:rPr>
            </w:pPr>
            <w:r>
              <w:rPr>
                <w:rFonts w:hint="eastAsia"/>
                <w:spacing w:val="6"/>
                <w:sz w:val="24"/>
              </w:rPr>
              <w:t>生产区</w:t>
            </w:r>
          </w:p>
        </w:tc>
        <w:tc>
          <w:tcPr>
            <w:tcW w:w="2158" w:type="dxa"/>
            <w:vAlign w:val="center"/>
          </w:tcPr>
          <w:p>
            <w:pPr>
              <w:spacing w:line="312" w:lineRule="auto"/>
              <w:jc w:val="center"/>
              <w:rPr>
                <w:spacing w:val="6"/>
                <w:sz w:val="24"/>
              </w:rPr>
            </w:pPr>
            <w:r>
              <w:rPr>
                <w:rFonts w:hint="eastAsia"/>
                <w:spacing w:val="6"/>
                <w:sz w:val="24"/>
              </w:rPr>
              <w:t>电化学去毛刺产生的氢氧化铁废渣、清洗工序产生的轻质石油类或硝酸类清洗废液</w:t>
            </w:r>
          </w:p>
        </w:tc>
        <w:tc>
          <w:tcPr>
            <w:tcW w:w="2342" w:type="dxa"/>
            <w:vAlign w:val="center"/>
          </w:tcPr>
          <w:p>
            <w:pPr>
              <w:spacing w:line="312" w:lineRule="auto"/>
              <w:jc w:val="center"/>
              <w:rPr>
                <w:spacing w:val="6"/>
                <w:sz w:val="24"/>
              </w:rPr>
            </w:pPr>
            <w:r>
              <w:rPr>
                <w:rFonts w:hint="eastAsia"/>
                <w:spacing w:val="6"/>
                <w:sz w:val="24"/>
              </w:rPr>
              <w:t>1.045</w:t>
            </w:r>
            <w:r>
              <w:rPr>
                <w:spacing w:val="6"/>
                <w:sz w:val="24"/>
              </w:rPr>
              <w:t>t/a</w:t>
            </w:r>
          </w:p>
        </w:tc>
        <w:tc>
          <w:tcPr>
            <w:tcW w:w="2340" w:type="dxa"/>
            <w:vMerge w:val="restart"/>
            <w:vAlign w:val="center"/>
          </w:tcPr>
          <w:p>
            <w:pPr>
              <w:spacing w:line="312" w:lineRule="auto"/>
              <w:jc w:val="center"/>
              <w:rPr>
                <w:spacing w:val="6"/>
                <w:sz w:val="24"/>
              </w:rPr>
            </w:pPr>
            <w:r>
              <w:rPr>
                <w:rFonts w:hint="eastAsia" w:hAnsi="宋体"/>
                <w:spacing w:val="6"/>
                <w:sz w:val="24"/>
              </w:rPr>
              <w:t>交给有资质的单位处置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rFonts w:hint="eastAsia"/>
                <w:sz w:val="24"/>
              </w:rPr>
              <w:t>废乳化液</w:t>
            </w:r>
          </w:p>
        </w:tc>
        <w:tc>
          <w:tcPr>
            <w:tcW w:w="2342" w:type="dxa"/>
            <w:vAlign w:val="center"/>
          </w:tcPr>
          <w:p>
            <w:pPr>
              <w:spacing w:line="312" w:lineRule="auto"/>
              <w:jc w:val="center"/>
              <w:rPr>
                <w:spacing w:val="6"/>
                <w:sz w:val="24"/>
              </w:rPr>
            </w:pPr>
            <w:r>
              <w:rPr>
                <w:rFonts w:hint="eastAsia"/>
                <w:spacing w:val="6"/>
                <w:sz w:val="24"/>
              </w:rPr>
              <w:t>3.04t/a</w:t>
            </w:r>
          </w:p>
        </w:tc>
        <w:tc>
          <w:tcPr>
            <w:tcW w:w="2340" w:type="dxa"/>
            <w:vMerge w:val="continue"/>
            <w:vAlign w:val="center"/>
          </w:tcPr>
          <w:p>
            <w:pPr>
              <w:spacing w:line="312" w:lineRule="auto"/>
              <w:jc w:val="center"/>
              <w:rPr>
                <w:rFonts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rFonts w:hint="eastAsia"/>
                <w:spacing w:val="6"/>
                <w:sz w:val="24"/>
              </w:rPr>
              <w:t>机油、冲压油、磨削油等各类废油脂</w:t>
            </w:r>
          </w:p>
        </w:tc>
        <w:tc>
          <w:tcPr>
            <w:tcW w:w="2342" w:type="dxa"/>
            <w:vAlign w:val="center"/>
          </w:tcPr>
          <w:p>
            <w:pPr>
              <w:spacing w:line="312" w:lineRule="auto"/>
              <w:jc w:val="center"/>
              <w:rPr>
                <w:spacing w:val="6"/>
                <w:sz w:val="24"/>
              </w:rPr>
            </w:pPr>
            <w:r>
              <w:rPr>
                <w:rFonts w:hint="eastAsia"/>
                <w:spacing w:val="6"/>
                <w:sz w:val="24"/>
              </w:rPr>
              <w:t>12.22t/a</w:t>
            </w:r>
          </w:p>
        </w:tc>
        <w:tc>
          <w:tcPr>
            <w:tcW w:w="2340" w:type="dxa"/>
            <w:vMerge w:val="continue"/>
            <w:vAlign w:val="center"/>
          </w:tcPr>
          <w:p>
            <w:pPr>
              <w:spacing w:line="312" w:lineRule="auto"/>
              <w:jc w:val="center"/>
              <w:rPr>
                <w:rFonts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rFonts w:hint="eastAsia"/>
                <w:sz w:val="24"/>
              </w:rPr>
              <w:t>油雾净化器收集的淬火油</w:t>
            </w:r>
          </w:p>
        </w:tc>
        <w:tc>
          <w:tcPr>
            <w:tcW w:w="2342" w:type="dxa"/>
            <w:vAlign w:val="center"/>
          </w:tcPr>
          <w:p>
            <w:pPr>
              <w:spacing w:line="312" w:lineRule="auto"/>
              <w:jc w:val="center"/>
              <w:rPr>
                <w:spacing w:val="6"/>
                <w:sz w:val="24"/>
              </w:rPr>
            </w:pPr>
            <w:r>
              <w:rPr>
                <w:rFonts w:hint="eastAsia"/>
                <w:spacing w:val="6"/>
                <w:sz w:val="24"/>
              </w:rPr>
              <w:t>2.83t/a</w:t>
            </w:r>
          </w:p>
        </w:tc>
        <w:tc>
          <w:tcPr>
            <w:tcW w:w="2340" w:type="dxa"/>
            <w:vMerge w:val="continue"/>
            <w:vAlign w:val="center"/>
          </w:tcPr>
          <w:p>
            <w:pPr>
              <w:spacing w:line="312" w:lineRule="auto"/>
              <w:jc w:val="center"/>
              <w:rPr>
                <w:rFonts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z w:val="24"/>
              </w:rPr>
            </w:pPr>
          </w:p>
        </w:tc>
        <w:tc>
          <w:tcPr>
            <w:tcW w:w="2158" w:type="dxa"/>
            <w:vAlign w:val="center"/>
          </w:tcPr>
          <w:p>
            <w:pPr>
              <w:spacing w:line="312" w:lineRule="auto"/>
              <w:jc w:val="center"/>
              <w:rPr>
                <w:sz w:val="24"/>
              </w:rPr>
            </w:pPr>
            <w:r>
              <w:rPr>
                <w:rFonts w:hint="eastAsia"/>
                <w:spacing w:val="6"/>
                <w:sz w:val="24"/>
              </w:rPr>
              <w:t>钢铁及塑料边角废料、残次品</w:t>
            </w:r>
          </w:p>
        </w:tc>
        <w:tc>
          <w:tcPr>
            <w:tcW w:w="2342" w:type="dxa"/>
            <w:vAlign w:val="center"/>
          </w:tcPr>
          <w:p>
            <w:pPr>
              <w:spacing w:line="312" w:lineRule="auto"/>
              <w:jc w:val="center"/>
              <w:rPr>
                <w:spacing w:val="6"/>
                <w:sz w:val="24"/>
              </w:rPr>
            </w:pPr>
            <w:r>
              <w:rPr>
                <w:rFonts w:hint="eastAsia"/>
                <w:spacing w:val="6"/>
                <w:sz w:val="24"/>
              </w:rPr>
              <w:t>14.75t/a</w:t>
            </w:r>
          </w:p>
        </w:tc>
        <w:tc>
          <w:tcPr>
            <w:tcW w:w="2340" w:type="dxa"/>
            <w:vAlign w:val="center"/>
          </w:tcPr>
          <w:p>
            <w:pPr>
              <w:spacing w:line="312" w:lineRule="auto"/>
              <w:jc w:val="center"/>
              <w:rPr>
                <w:spacing w:val="6"/>
                <w:sz w:val="24"/>
              </w:rPr>
            </w:pPr>
            <w:r>
              <w:rPr>
                <w:rFonts w:hint="eastAsia"/>
                <w:sz w:val="24"/>
              </w:rPr>
              <w:t>外售废品回收站处理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restart"/>
            <w:vAlign w:val="center"/>
          </w:tcPr>
          <w:p>
            <w:pPr>
              <w:spacing w:line="312" w:lineRule="auto"/>
              <w:jc w:val="center"/>
              <w:rPr>
                <w:sz w:val="24"/>
              </w:rPr>
            </w:pPr>
            <w:r>
              <w:rPr>
                <w:rFonts w:hint="eastAsia"/>
                <w:sz w:val="24"/>
              </w:rPr>
              <w:t>办公室</w:t>
            </w:r>
          </w:p>
        </w:tc>
        <w:tc>
          <w:tcPr>
            <w:tcW w:w="2158" w:type="dxa"/>
            <w:vAlign w:val="center"/>
          </w:tcPr>
          <w:p>
            <w:pPr>
              <w:spacing w:line="312" w:lineRule="auto"/>
              <w:jc w:val="center"/>
              <w:rPr>
                <w:sz w:val="24"/>
              </w:rPr>
            </w:pPr>
            <w:r>
              <w:rPr>
                <w:rFonts w:hint="eastAsia"/>
                <w:sz w:val="24"/>
              </w:rPr>
              <w:t>普通生活垃圾</w:t>
            </w:r>
          </w:p>
        </w:tc>
        <w:tc>
          <w:tcPr>
            <w:tcW w:w="2342" w:type="dxa"/>
            <w:vAlign w:val="center"/>
          </w:tcPr>
          <w:p>
            <w:pPr>
              <w:spacing w:line="312" w:lineRule="auto"/>
              <w:jc w:val="center"/>
              <w:rPr>
                <w:spacing w:val="6"/>
                <w:sz w:val="24"/>
              </w:rPr>
            </w:pPr>
            <w:r>
              <w:rPr>
                <w:rFonts w:hint="eastAsia"/>
                <w:sz w:val="24"/>
              </w:rPr>
              <w:t>1.5t/a</w:t>
            </w:r>
          </w:p>
        </w:tc>
        <w:tc>
          <w:tcPr>
            <w:tcW w:w="2340" w:type="dxa"/>
            <w:vAlign w:val="center"/>
          </w:tcPr>
          <w:p>
            <w:pPr>
              <w:spacing w:line="312" w:lineRule="auto"/>
              <w:jc w:val="center"/>
              <w:rPr>
                <w:spacing w:val="6"/>
                <w:sz w:val="24"/>
              </w:rPr>
            </w:pPr>
            <w:r>
              <w:rPr>
                <w:rFonts w:hint="eastAsia"/>
                <w:spacing w:val="6"/>
                <w:sz w:val="24"/>
              </w:rPr>
              <w:t>委托当地卫生部门处理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z w:val="24"/>
              </w:rPr>
            </w:pPr>
          </w:p>
        </w:tc>
        <w:tc>
          <w:tcPr>
            <w:tcW w:w="2158" w:type="dxa"/>
            <w:vAlign w:val="center"/>
          </w:tcPr>
          <w:p>
            <w:pPr>
              <w:spacing w:line="312" w:lineRule="auto"/>
              <w:jc w:val="center"/>
              <w:rPr>
                <w:sz w:val="24"/>
              </w:rPr>
            </w:pPr>
            <w:r>
              <w:rPr>
                <w:rFonts w:hint="eastAsia"/>
                <w:sz w:val="24"/>
              </w:rPr>
              <w:t>隔油池等</w:t>
            </w:r>
          </w:p>
        </w:tc>
        <w:tc>
          <w:tcPr>
            <w:tcW w:w="2342" w:type="dxa"/>
            <w:vAlign w:val="center"/>
          </w:tcPr>
          <w:p>
            <w:pPr>
              <w:spacing w:line="312" w:lineRule="auto"/>
              <w:jc w:val="center"/>
              <w:rPr>
                <w:sz w:val="24"/>
              </w:rPr>
            </w:pPr>
            <w:r>
              <w:rPr>
                <w:rFonts w:hint="eastAsia"/>
                <w:sz w:val="24"/>
              </w:rPr>
              <w:t>0.1t/a</w:t>
            </w:r>
          </w:p>
        </w:tc>
        <w:tc>
          <w:tcPr>
            <w:tcW w:w="2340" w:type="dxa"/>
            <w:vAlign w:val="center"/>
          </w:tcPr>
          <w:p>
            <w:pPr>
              <w:spacing w:line="312" w:lineRule="auto"/>
              <w:jc w:val="center"/>
              <w:rPr>
                <w:spacing w:val="6"/>
                <w:sz w:val="24"/>
              </w:rPr>
            </w:pPr>
            <w:r>
              <w:rPr>
                <w:rFonts w:hint="eastAsia"/>
                <w:sz w:val="24"/>
              </w:rPr>
              <w:t>委托湘潭市有专门处理餐厨垃圾资质的单位统一清运、处置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Align w:val="center"/>
          </w:tcPr>
          <w:p>
            <w:pPr>
              <w:spacing w:line="312" w:lineRule="auto"/>
              <w:jc w:val="center"/>
              <w:rPr>
                <w:spacing w:val="6"/>
                <w:sz w:val="24"/>
              </w:rPr>
            </w:pPr>
            <w:r>
              <w:rPr>
                <w:spacing w:val="6"/>
                <w:sz w:val="24"/>
              </w:rPr>
              <w:t>噪声</w:t>
            </w:r>
          </w:p>
        </w:tc>
        <w:tc>
          <w:tcPr>
            <w:tcW w:w="8240" w:type="dxa"/>
            <w:gridSpan w:val="4"/>
            <w:vAlign w:val="center"/>
          </w:tcPr>
          <w:p>
            <w:pPr>
              <w:spacing w:line="312" w:lineRule="auto"/>
              <w:rPr>
                <w:spacing w:val="6"/>
                <w:sz w:val="24"/>
              </w:rPr>
            </w:pPr>
            <w:r>
              <w:rPr>
                <w:rFonts w:hint="eastAsia" w:ascii="宋体" w:cs="宋体"/>
                <w:bCs/>
                <w:sz w:val="24"/>
              </w:rPr>
              <w:t>本项目</w:t>
            </w:r>
            <w:r>
              <w:rPr>
                <w:sz w:val="24"/>
              </w:rPr>
              <w:t>主要产噪设备为</w:t>
            </w:r>
            <w:r>
              <w:rPr>
                <w:rFonts w:hint="eastAsia"/>
                <w:bCs/>
                <w:sz w:val="24"/>
              </w:rPr>
              <w:t>压机、车床、热处理炉、磨床、钻床、铣床、注塑机、装配机、风机等</w:t>
            </w:r>
            <w:r>
              <w:rPr>
                <w:rFonts w:hint="eastAsia"/>
                <w:sz w:val="24"/>
              </w:rPr>
              <w:t>，</w:t>
            </w:r>
            <w:r>
              <w:rPr>
                <w:sz w:val="24"/>
              </w:rPr>
              <w:t>噪声源强约为</w:t>
            </w:r>
            <w:r>
              <w:rPr>
                <w:rFonts w:hint="eastAsia"/>
                <w:sz w:val="24"/>
              </w:rPr>
              <w:t>70</w:t>
            </w:r>
            <w:r>
              <w:rPr>
                <w:sz w:val="24"/>
              </w:rPr>
              <w:t>-</w:t>
            </w:r>
            <w:r>
              <w:rPr>
                <w:rFonts w:hint="eastAsia"/>
                <w:sz w:val="24"/>
              </w:rPr>
              <w:t>95</w:t>
            </w:r>
            <w:r>
              <w:rPr>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Align w:val="center"/>
          </w:tcPr>
          <w:p>
            <w:pPr>
              <w:spacing w:line="312" w:lineRule="auto"/>
              <w:jc w:val="center"/>
              <w:rPr>
                <w:spacing w:val="6"/>
                <w:sz w:val="24"/>
              </w:rPr>
            </w:pPr>
            <w:r>
              <w:rPr>
                <w:spacing w:val="6"/>
                <w:sz w:val="24"/>
              </w:rPr>
              <w:t>其他</w:t>
            </w:r>
          </w:p>
        </w:tc>
        <w:tc>
          <w:tcPr>
            <w:tcW w:w="8240" w:type="dxa"/>
            <w:gridSpan w:val="4"/>
            <w:vAlign w:val="center"/>
          </w:tcPr>
          <w:p>
            <w:pPr>
              <w:spacing w:line="312" w:lineRule="auto"/>
              <w:jc w:val="center"/>
              <w:rPr>
                <w:spacing w:val="6"/>
                <w:sz w:val="24"/>
              </w:rPr>
            </w:pPr>
            <w:r>
              <w:rPr>
                <w:spacing w:val="6"/>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360" w:type="dxa"/>
            <w:gridSpan w:val="5"/>
          </w:tcPr>
          <w:p>
            <w:pPr>
              <w:spacing w:line="312" w:lineRule="auto"/>
              <w:rPr>
                <w:b/>
                <w:spacing w:val="6"/>
                <w:sz w:val="24"/>
              </w:rPr>
            </w:pPr>
            <w:r>
              <w:rPr>
                <w:b/>
                <w:spacing w:val="6"/>
                <w:sz w:val="24"/>
              </w:rPr>
              <w:t>主要生态影响（不够时可附另页）：</w:t>
            </w:r>
          </w:p>
          <w:p>
            <w:pPr>
              <w:spacing w:line="360" w:lineRule="auto"/>
              <w:ind w:firstLine="480" w:firstLineChars="200"/>
              <w:rPr>
                <w:sz w:val="24"/>
              </w:rPr>
            </w:pPr>
            <w:r>
              <w:rPr>
                <w:sz w:val="24"/>
              </w:rPr>
              <w:t>项目施工期</w:t>
            </w:r>
            <w:r>
              <w:rPr>
                <w:rFonts w:hint="eastAsia"/>
                <w:sz w:val="24"/>
              </w:rPr>
              <w:t>土方</w:t>
            </w:r>
            <w:r>
              <w:rPr>
                <w:sz w:val="24"/>
              </w:rPr>
              <w:t>开挖等对地面扰动较大，裸露地表被雨水冲刷后容易形成局地水土流失和土壤侵蚀</w:t>
            </w:r>
            <w:r>
              <w:rPr>
                <w:rFonts w:hint="eastAsia"/>
                <w:sz w:val="24"/>
              </w:rPr>
              <w:t>，可通过</w:t>
            </w:r>
            <w:r>
              <w:rPr>
                <w:sz w:val="24"/>
              </w:rPr>
              <w:t>合理布置施工作业面</w:t>
            </w:r>
            <w:r>
              <w:rPr>
                <w:rFonts w:hint="eastAsia"/>
                <w:sz w:val="24"/>
              </w:rPr>
              <w:t>、</w:t>
            </w:r>
            <w:r>
              <w:rPr>
                <w:sz w:val="24"/>
              </w:rPr>
              <w:t>规范化堆放</w:t>
            </w:r>
            <w:r>
              <w:rPr>
                <w:rFonts w:hint="eastAsia"/>
                <w:sz w:val="24"/>
              </w:rPr>
              <w:t>土石方等措施加以控制。</w:t>
            </w:r>
          </w:p>
          <w:p>
            <w:pPr>
              <w:pStyle w:val="79"/>
              <w:spacing w:line="360" w:lineRule="auto"/>
              <w:ind w:firstLine="480" w:firstLineChars="200"/>
              <w:jc w:val="both"/>
              <w:rPr>
                <w:rFonts w:ascii="Times New Roman" w:hAnsi="宋体" w:cs="Times New Roman"/>
                <w:color w:val="auto"/>
              </w:rPr>
            </w:pPr>
            <w:r>
              <w:rPr>
                <w:rFonts w:ascii="Times New Roman" w:hAnsi="宋体" w:cs="Times New Roman"/>
                <w:color w:val="auto"/>
              </w:rPr>
              <w:t>本项目</w:t>
            </w:r>
            <w:r>
              <w:rPr>
                <w:rFonts w:hint="eastAsia"/>
              </w:rPr>
              <w:t>项目拟建地东部已经完成土地平整，西部拆迁工作已完成，但是尚未进行土地平整，仍保持原始的城郊风貌。该部分土地需在施工期清表并平整。</w:t>
            </w:r>
            <w:r>
              <w:rPr>
                <w:rFonts w:ascii="Times New Roman" w:hAnsi="宋体" w:cs="Times New Roman"/>
                <w:color w:val="auto"/>
              </w:rPr>
              <w:t>项目的建设对涉及区域内的生态环境及土地利用形式将产生不可逆转的影响和变化。</w:t>
            </w:r>
            <w:r>
              <w:rPr>
                <w:rFonts w:hint="eastAsia" w:ascii="Times New Roman" w:hAnsi="宋体" w:cs="Times New Roman"/>
                <w:color w:val="auto"/>
              </w:rPr>
              <w:t>项目可通过适当绿化进行生态补偿。</w:t>
            </w: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pacing w:val="6"/>
                <w:sz w:val="24"/>
              </w:rPr>
            </w:pPr>
          </w:p>
        </w:tc>
      </w:tr>
    </w:tbl>
    <w:p>
      <w:pPr>
        <w:spacing w:line="460" w:lineRule="exact"/>
        <w:outlineLvl w:val="0"/>
        <w:rPr>
          <w:b/>
          <w:spacing w:val="6"/>
          <w:sz w:val="28"/>
        </w:rPr>
      </w:pPr>
      <w:r>
        <w:rPr>
          <w:rFonts w:hint="eastAsia"/>
          <w:b/>
          <w:spacing w:val="6"/>
          <w:sz w:val="28"/>
        </w:rPr>
        <w:t>七、</w:t>
      </w:r>
      <w:r>
        <w:rPr>
          <w:b/>
          <w:spacing w:val="6"/>
          <w:sz w:val="28"/>
        </w:rPr>
        <w:t>环境影响分析</w:t>
      </w:r>
    </w:p>
    <w:tbl>
      <w:tblPr>
        <w:tblStyle w:val="29"/>
        <w:tblW w:w="9627"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962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trHeight w:val="13398" w:hRule="atLeast"/>
        </w:trPr>
        <w:tc>
          <w:tcPr>
            <w:tcW w:w="9627" w:type="dxa"/>
            <w:tcBorders>
              <w:top w:val="single" w:color="auto" w:sz="4" w:space="0"/>
              <w:left w:val="single" w:color="auto" w:sz="4" w:space="0"/>
              <w:bottom w:val="single" w:color="auto" w:sz="4" w:space="0"/>
              <w:right w:val="single" w:color="auto" w:sz="4" w:space="0"/>
            </w:tcBorders>
          </w:tcPr>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 xml:space="preserve">7.1 </w:t>
            </w:r>
            <w:r>
              <w:rPr>
                <w:rFonts w:ascii="宋体" w:hAnsi="宋体"/>
                <w:b/>
                <w:bCs/>
                <w:color w:val="auto"/>
                <w:spacing w:val="-8"/>
                <w:sz w:val="28"/>
                <w:szCs w:val="28"/>
                <w:highlight w:val="none"/>
              </w:rPr>
              <w:t>施工期环境影响分析</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 xml:space="preserve">7.1.1 </w:t>
            </w:r>
            <w:r>
              <w:rPr>
                <w:b/>
                <w:color w:val="auto"/>
                <w:spacing w:val="4"/>
                <w:sz w:val="24"/>
                <w:szCs w:val="24"/>
                <w:highlight w:val="none"/>
              </w:rPr>
              <w:t>声环境影响分析</w:t>
            </w:r>
          </w:p>
          <w:p>
            <w:pPr>
              <w:spacing w:line="360" w:lineRule="auto"/>
              <w:ind w:firstLine="480" w:firstLineChars="200"/>
              <w:rPr>
                <w:color w:val="auto"/>
                <w:sz w:val="24"/>
                <w:highlight w:val="none"/>
              </w:rPr>
            </w:pPr>
            <w:r>
              <w:rPr>
                <w:rFonts w:hAnsi="宋体"/>
                <w:color w:val="auto"/>
                <w:sz w:val="24"/>
                <w:highlight w:val="none"/>
              </w:rPr>
              <w:t>（</w:t>
            </w:r>
            <w:r>
              <w:rPr>
                <w:color w:val="auto"/>
                <w:sz w:val="24"/>
                <w:highlight w:val="none"/>
              </w:rPr>
              <w:t>1</w:t>
            </w:r>
            <w:r>
              <w:rPr>
                <w:rFonts w:hAnsi="宋体"/>
                <w:color w:val="auto"/>
                <w:sz w:val="24"/>
                <w:highlight w:val="none"/>
              </w:rPr>
              <w:t>）噪声源强</w:t>
            </w:r>
          </w:p>
          <w:p>
            <w:pPr>
              <w:spacing w:line="360" w:lineRule="auto"/>
              <w:ind w:firstLine="480" w:firstLineChars="200"/>
              <w:rPr>
                <w:color w:val="auto"/>
                <w:sz w:val="24"/>
                <w:highlight w:val="none"/>
              </w:rPr>
            </w:pPr>
            <w:r>
              <w:rPr>
                <w:rFonts w:hAnsi="宋体"/>
                <w:color w:val="auto"/>
                <w:sz w:val="24"/>
                <w:highlight w:val="none"/>
              </w:rPr>
              <w:t>本工程施工期间噪声主要包括施工机械噪声和运输车辆噪声，常用施工设备和运输车辆在作业期间所产生的噪声值见表</w:t>
            </w:r>
            <w:r>
              <w:rPr>
                <w:rFonts w:hint="eastAsia"/>
                <w:color w:val="auto"/>
                <w:sz w:val="24"/>
                <w:highlight w:val="none"/>
              </w:rPr>
              <w:t>5-2</w:t>
            </w:r>
            <w:r>
              <w:rPr>
                <w:rFonts w:hAnsi="宋体"/>
                <w:color w:val="auto"/>
                <w:sz w:val="24"/>
                <w:highlight w:val="none"/>
              </w:rPr>
              <w:t>。</w:t>
            </w:r>
          </w:p>
          <w:p>
            <w:pPr>
              <w:spacing w:line="360" w:lineRule="auto"/>
              <w:ind w:firstLine="480" w:firstLineChars="200"/>
              <w:rPr>
                <w:color w:val="auto"/>
                <w:sz w:val="24"/>
                <w:highlight w:val="none"/>
              </w:rPr>
            </w:pPr>
            <w:r>
              <w:rPr>
                <w:rFonts w:hAnsi="宋体"/>
                <w:color w:val="auto"/>
                <w:sz w:val="24"/>
                <w:highlight w:val="none"/>
              </w:rPr>
              <w:t>（</w:t>
            </w:r>
            <w:r>
              <w:rPr>
                <w:color w:val="auto"/>
                <w:sz w:val="24"/>
                <w:highlight w:val="none"/>
              </w:rPr>
              <w:t>2</w:t>
            </w:r>
            <w:r>
              <w:rPr>
                <w:rFonts w:hAnsi="宋体"/>
                <w:color w:val="auto"/>
                <w:sz w:val="24"/>
                <w:highlight w:val="none"/>
              </w:rPr>
              <w:t>）施工期噪声影响分析</w:t>
            </w:r>
          </w:p>
          <w:p>
            <w:pPr>
              <w:spacing w:line="360" w:lineRule="auto"/>
              <w:ind w:firstLine="480" w:firstLineChars="200"/>
              <w:rPr>
                <w:color w:val="auto"/>
                <w:sz w:val="24"/>
                <w:highlight w:val="none"/>
              </w:rPr>
            </w:pPr>
            <w:r>
              <w:rPr>
                <w:rFonts w:hAnsi="宋体"/>
                <w:color w:val="auto"/>
                <w:sz w:val="24"/>
                <w:highlight w:val="none"/>
              </w:rPr>
              <w:t>①基准预测点噪声级叠加公式：</w:t>
            </w:r>
          </w:p>
          <w:p>
            <w:pPr>
              <w:adjustRightInd w:val="0"/>
              <w:snapToGrid w:val="0"/>
              <w:spacing w:line="360" w:lineRule="auto"/>
              <w:jc w:val="center"/>
              <w:rPr>
                <w:bCs/>
                <w:color w:val="auto"/>
                <w:sz w:val="24"/>
                <w:highlight w:val="none"/>
              </w:rPr>
            </w:pPr>
            <w:r>
              <w:rPr>
                <w:bCs/>
                <w:color w:val="auto"/>
                <w:sz w:val="24"/>
                <w:highlight w:val="none"/>
              </w:rPr>
              <w:t>Lpe =10×lg[</w:t>
            </w:r>
            <w:r>
              <w:rPr>
                <w:bCs/>
                <w:color w:val="auto"/>
                <w:sz w:val="24"/>
                <w:highlight w:val="none"/>
              </w:rPr>
              <w:object>
                <v:shape id="_x0000_i1033" o:spt="75" type="#_x0000_t75" style="height:33.75pt;width:23.25pt;" o:ole="t" fillcolor="#6D6D6D" filled="f" o:preferrelative="t" stroked="f" coordsize="21600,21600">
                  <v:path/>
                  <v:fill on="f" focussize="0,0"/>
                  <v:stroke on="f" joinstyle="miter"/>
                  <v:imagedata r:id="rId51" o:title=""/>
                  <o:lock v:ext="edit" aspectratio="t"/>
                  <w10:wrap type="none"/>
                  <w10:anchorlock/>
                </v:shape>
                <o:OLEObject Type="Embed" ProgID="Equation.3" ShapeID="_x0000_i1033" DrawAspect="Content" ObjectID="_1468075733" r:id="rId50">
                  <o:LockedField>false</o:LockedField>
                </o:OLEObject>
              </w:object>
            </w:r>
            <w:r>
              <w:rPr>
                <w:bCs/>
                <w:color w:val="auto"/>
                <w:sz w:val="24"/>
                <w:highlight w:val="none"/>
              </w:rPr>
              <w:object>
                <v:shape id="_x0000_i1034" o:spt="75" type="#_x0000_t75" style="height:24.75pt;width:27pt;" o:ole="t" fillcolor="#6D6D6D" filled="f" o:preferrelative="t" stroked="f" coordsize="21600,21600">
                  <v:path/>
                  <v:fill on="f" focussize="0,0"/>
                  <v:stroke on="f" joinstyle="miter"/>
                  <v:imagedata r:id="rId53" o:title=""/>
                  <o:lock v:ext="edit" aspectratio="t"/>
                  <w10:wrap type="none"/>
                  <w10:anchorlock/>
                </v:shape>
                <o:OLEObject Type="Embed" ProgID="Equation.3" ShapeID="_x0000_i1034" DrawAspect="Content" ObjectID="_1468075734" r:id="rId52">
                  <o:LockedField>false</o:LockedField>
                </o:OLEObject>
              </w:object>
            </w:r>
            <w:r>
              <w:rPr>
                <w:bCs/>
                <w:color w:val="auto"/>
                <w:sz w:val="24"/>
                <w:highlight w:val="none"/>
              </w:rPr>
              <w:t>]</w:t>
            </w:r>
          </w:p>
          <w:p>
            <w:pPr>
              <w:adjustRightInd w:val="0"/>
              <w:snapToGrid w:val="0"/>
              <w:spacing w:line="360" w:lineRule="auto"/>
              <w:ind w:firstLine="480" w:firstLineChars="200"/>
              <w:rPr>
                <w:bCs/>
                <w:color w:val="auto"/>
                <w:sz w:val="24"/>
                <w:highlight w:val="none"/>
              </w:rPr>
            </w:pPr>
            <w:r>
              <w:rPr>
                <w:rFonts w:hAnsi="宋体"/>
                <w:bCs/>
                <w:color w:val="auto"/>
                <w:sz w:val="24"/>
                <w:highlight w:val="none"/>
              </w:rPr>
              <w:t>式中：</w:t>
            </w:r>
            <w:r>
              <w:rPr>
                <w:bCs/>
                <w:color w:val="auto"/>
                <w:sz w:val="24"/>
                <w:highlight w:val="none"/>
              </w:rPr>
              <w:t xml:space="preserve">Lpe — </w:t>
            </w:r>
            <w:r>
              <w:rPr>
                <w:rFonts w:hAnsi="宋体"/>
                <w:bCs/>
                <w:color w:val="auto"/>
                <w:sz w:val="24"/>
                <w:highlight w:val="none"/>
              </w:rPr>
              <w:t>叠加后总声级，</w:t>
            </w:r>
            <w:r>
              <w:rPr>
                <w:bCs/>
                <w:color w:val="auto"/>
                <w:sz w:val="24"/>
                <w:highlight w:val="none"/>
              </w:rPr>
              <w:t>dB(A)</w:t>
            </w:r>
            <w:r>
              <w:rPr>
                <w:rFonts w:hAnsi="宋体"/>
                <w:bCs/>
                <w:color w:val="auto"/>
                <w:sz w:val="24"/>
                <w:highlight w:val="none"/>
              </w:rPr>
              <w:t>。</w:t>
            </w:r>
          </w:p>
          <w:p>
            <w:pPr>
              <w:adjustRightInd w:val="0"/>
              <w:snapToGrid w:val="0"/>
              <w:spacing w:line="360" w:lineRule="auto"/>
              <w:ind w:firstLine="1200" w:firstLineChars="500"/>
              <w:rPr>
                <w:bCs/>
                <w:color w:val="auto"/>
                <w:sz w:val="24"/>
                <w:highlight w:val="none"/>
              </w:rPr>
            </w:pPr>
            <w:r>
              <w:rPr>
                <w:bCs/>
                <w:color w:val="auto"/>
                <w:sz w:val="24"/>
                <w:highlight w:val="none"/>
              </w:rPr>
              <w:t>Lpi — i</w:t>
            </w:r>
            <w:r>
              <w:rPr>
                <w:rFonts w:hAnsi="宋体"/>
                <w:bCs/>
                <w:color w:val="auto"/>
                <w:sz w:val="24"/>
                <w:highlight w:val="none"/>
              </w:rPr>
              <w:t>声源至基准预测点的声级，</w:t>
            </w:r>
            <w:r>
              <w:rPr>
                <w:bCs/>
                <w:color w:val="auto"/>
                <w:sz w:val="24"/>
                <w:highlight w:val="none"/>
              </w:rPr>
              <w:t>dB(A)</w:t>
            </w:r>
            <w:r>
              <w:rPr>
                <w:rFonts w:hAnsi="宋体"/>
                <w:bCs/>
                <w:color w:val="auto"/>
                <w:sz w:val="24"/>
                <w:highlight w:val="none"/>
              </w:rPr>
              <w:t>。</w:t>
            </w:r>
          </w:p>
          <w:p>
            <w:pPr>
              <w:adjustRightInd w:val="0"/>
              <w:snapToGrid w:val="0"/>
              <w:spacing w:line="360" w:lineRule="auto"/>
              <w:ind w:firstLine="1200" w:firstLineChars="500"/>
              <w:rPr>
                <w:color w:val="auto"/>
                <w:sz w:val="24"/>
                <w:highlight w:val="none"/>
              </w:rPr>
            </w:pPr>
            <w:r>
              <w:rPr>
                <w:color w:val="auto"/>
                <w:sz w:val="24"/>
                <w:highlight w:val="none"/>
              </w:rPr>
              <w:t xml:space="preserve">N — </w:t>
            </w:r>
            <w:r>
              <w:rPr>
                <w:rFonts w:hAnsi="宋体"/>
                <w:color w:val="auto"/>
                <w:sz w:val="24"/>
                <w:highlight w:val="none"/>
              </w:rPr>
              <w:t>噪声源数目。</w:t>
            </w:r>
          </w:p>
          <w:p>
            <w:pPr>
              <w:spacing w:line="360" w:lineRule="auto"/>
              <w:ind w:firstLine="480" w:firstLineChars="200"/>
              <w:rPr>
                <w:color w:val="auto"/>
                <w:sz w:val="24"/>
                <w:highlight w:val="none"/>
              </w:rPr>
            </w:pPr>
            <w:r>
              <w:rPr>
                <w:rFonts w:hAnsi="宋体"/>
                <w:color w:val="auto"/>
                <w:sz w:val="24"/>
                <w:highlight w:val="none"/>
              </w:rPr>
              <w:t>用上述公式计算出各噪声源点至基准预测点的总声压级，然后以基准预测点的噪声强度为工程噪声源强。</w:t>
            </w:r>
          </w:p>
          <w:p>
            <w:pPr>
              <w:spacing w:line="360" w:lineRule="auto"/>
              <w:ind w:firstLine="480" w:firstLineChars="200"/>
              <w:rPr>
                <w:color w:val="auto"/>
                <w:sz w:val="24"/>
                <w:highlight w:val="none"/>
              </w:rPr>
            </w:pPr>
            <w:r>
              <w:rPr>
                <w:rFonts w:hAnsi="宋体"/>
                <w:color w:val="auto"/>
                <w:sz w:val="24"/>
                <w:highlight w:val="none"/>
              </w:rPr>
              <w:t>②噪声源至某一预测点的计算公式</w:t>
            </w:r>
          </w:p>
          <w:p>
            <w:pPr>
              <w:spacing w:line="360" w:lineRule="auto"/>
              <w:jc w:val="center"/>
              <w:rPr>
                <w:color w:val="auto"/>
                <w:sz w:val="24"/>
                <w:highlight w:val="none"/>
              </w:rPr>
            </w:pPr>
            <w:r>
              <w:rPr>
                <w:color w:val="auto"/>
                <w:sz w:val="24"/>
                <w:highlight w:val="none"/>
              </w:rPr>
              <w:object>
                <v:shape id="_x0000_i1035" o:spt="75" type="#_x0000_t75" style="height:17.25pt;width:98.25pt;" o:ole="t" fillcolor="#6D6D6D" filled="f" o:preferrelative="t" stroked="f" coordsize="21600,21600">
                  <v:path/>
                  <v:fill on="f" focussize="0,0"/>
                  <v:stroke on="f" joinstyle="miter"/>
                  <v:imagedata r:id="rId55" o:title=""/>
                  <o:lock v:ext="edit" aspectratio="t"/>
                  <w10:wrap type="none"/>
                  <w10:anchorlock/>
                </v:shape>
                <o:OLEObject Type="Embed" ProgID="Equation.3" ShapeID="_x0000_i1035" DrawAspect="Content" ObjectID="_1468075735" r:id="rId54">
                  <o:LockedField>false</o:LockedField>
                </o:OLEObject>
              </w:object>
            </w:r>
          </w:p>
          <w:p>
            <w:pPr>
              <w:spacing w:line="360" w:lineRule="auto"/>
              <w:ind w:firstLine="480" w:firstLineChars="200"/>
              <w:rPr>
                <w:color w:val="auto"/>
                <w:sz w:val="24"/>
                <w:highlight w:val="none"/>
              </w:rPr>
            </w:pPr>
            <w:r>
              <w:rPr>
                <w:rFonts w:hAnsi="宋体"/>
                <w:color w:val="auto"/>
                <w:sz w:val="24"/>
                <w:highlight w:val="none"/>
              </w:rPr>
              <w:t>式中：</w:t>
            </w:r>
            <w:r>
              <w:rPr>
                <w:color w:val="auto"/>
                <w:sz w:val="24"/>
                <w:highlight w:val="none"/>
              </w:rPr>
              <w:t>L</w:t>
            </w:r>
            <w:r>
              <w:rPr>
                <w:color w:val="auto"/>
                <w:sz w:val="24"/>
                <w:highlight w:val="none"/>
                <w:vertAlign w:val="subscript"/>
              </w:rPr>
              <w:t>1</w:t>
            </w:r>
            <w:r>
              <w:rPr>
                <w:rFonts w:hAnsi="宋体"/>
                <w:color w:val="auto"/>
                <w:sz w:val="24"/>
                <w:highlight w:val="none"/>
              </w:rPr>
              <w:t>、</w:t>
            </w:r>
            <w:r>
              <w:rPr>
                <w:color w:val="auto"/>
                <w:sz w:val="24"/>
                <w:highlight w:val="none"/>
              </w:rPr>
              <w:t>L</w:t>
            </w:r>
            <w:r>
              <w:rPr>
                <w:color w:val="auto"/>
                <w:sz w:val="24"/>
                <w:highlight w:val="none"/>
                <w:vertAlign w:val="subscript"/>
              </w:rPr>
              <w:t>2</w:t>
            </w:r>
            <w:r>
              <w:rPr>
                <w:rFonts w:hAnsi="宋体"/>
                <w:color w:val="auto"/>
                <w:sz w:val="24"/>
                <w:highlight w:val="none"/>
              </w:rPr>
              <w:t>分别为距声源</w:t>
            </w:r>
            <w:r>
              <w:rPr>
                <w:color w:val="auto"/>
                <w:sz w:val="24"/>
                <w:highlight w:val="none"/>
              </w:rPr>
              <w:t>r</w:t>
            </w:r>
            <w:r>
              <w:rPr>
                <w:color w:val="auto"/>
                <w:sz w:val="24"/>
                <w:highlight w:val="none"/>
                <w:vertAlign w:val="subscript"/>
              </w:rPr>
              <w:t>1</w:t>
            </w:r>
            <w:r>
              <w:rPr>
                <w:rFonts w:hAnsi="宋体"/>
                <w:color w:val="auto"/>
                <w:sz w:val="24"/>
                <w:highlight w:val="none"/>
              </w:rPr>
              <w:t>、</w:t>
            </w:r>
            <w:r>
              <w:rPr>
                <w:color w:val="auto"/>
                <w:sz w:val="24"/>
                <w:highlight w:val="none"/>
              </w:rPr>
              <w:t>r</w:t>
            </w:r>
            <w:r>
              <w:rPr>
                <w:color w:val="auto"/>
                <w:sz w:val="24"/>
                <w:highlight w:val="none"/>
                <w:vertAlign w:val="subscript"/>
              </w:rPr>
              <w:t>2</w:t>
            </w:r>
            <w:r>
              <w:rPr>
                <w:rFonts w:hAnsi="宋体"/>
                <w:color w:val="auto"/>
                <w:sz w:val="24"/>
                <w:highlight w:val="none"/>
              </w:rPr>
              <w:t>处的等效</w:t>
            </w:r>
            <w:r>
              <w:rPr>
                <w:color w:val="auto"/>
                <w:sz w:val="24"/>
                <w:highlight w:val="none"/>
              </w:rPr>
              <w:t>A</w:t>
            </w:r>
            <w:r>
              <w:rPr>
                <w:rFonts w:hAnsi="宋体"/>
                <w:color w:val="auto"/>
                <w:sz w:val="24"/>
                <w:highlight w:val="none"/>
              </w:rPr>
              <w:t>声级</w:t>
            </w:r>
            <w:r>
              <w:rPr>
                <w:color w:val="auto"/>
                <w:sz w:val="24"/>
                <w:highlight w:val="none"/>
              </w:rPr>
              <w:t>dB(A)</w:t>
            </w:r>
            <w:r>
              <w:rPr>
                <w:rFonts w:hAnsi="宋体"/>
                <w:color w:val="auto"/>
                <w:sz w:val="24"/>
                <w:highlight w:val="none"/>
              </w:rPr>
              <w:t>；</w:t>
            </w:r>
          </w:p>
          <w:p>
            <w:pPr>
              <w:spacing w:line="360" w:lineRule="auto"/>
              <w:ind w:firstLine="578"/>
              <w:rPr>
                <w:color w:val="auto"/>
                <w:sz w:val="24"/>
                <w:highlight w:val="none"/>
              </w:rPr>
            </w:pPr>
            <w:r>
              <w:rPr>
                <w:color w:val="auto"/>
                <w:sz w:val="24"/>
                <w:highlight w:val="none"/>
              </w:rPr>
              <w:t xml:space="preserve">     r</w:t>
            </w:r>
            <w:r>
              <w:rPr>
                <w:color w:val="auto"/>
                <w:sz w:val="24"/>
                <w:highlight w:val="none"/>
                <w:vertAlign w:val="subscript"/>
              </w:rPr>
              <w:t>1</w:t>
            </w:r>
            <w:r>
              <w:rPr>
                <w:rFonts w:hAnsi="宋体"/>
                <w:color w:val="auto"/>
                <w:sz w:val="24"/>
                <w:highlight w:val="none"/>
              </w:rPr>
              <w:t>、</w:t>
            </w:r>
            <w:r>
              <w:rPr>
                <w:color w:val="auto"/>
                <w:sz w:val="24"/>
                <w:highlight w:val="none"/>
              </w:rPr>
              <w:t>r</w:t>
            </w:r>
            <w:r>
              <w:rPr>
                <w:color w:val="auto"/>
                <w:sz w:val="24"/>
                <w:highlight w:val="none"/>
                <w:vertAlign w:val="subscript"/>
              </w:rPr>
              <w:t>2</w:t>
            </w:r>
            <w:r>
              <w:rPr>
                <w:rFonts w:hAnsi="宋体"/>
                <w:color w:val="auto"/>
                <w:sz w:val="24"/>
                <w:highlight w:val="none"/>
              </w:rPr>
              <w:t>为接受点距声源的距离，</w:t>
            </w:r>
            <w:r>
              <w:rPr>
                <w:color w:val="auto"/>
                <w:sz w:val="24"/>
                <w:highlight w:val="none"/>
              </w:rPr>
              <w:t>m</w:t>
            </w:r>
            <w:r>
              <w:rPr>
                <w:rFonts w:hAnsi="宋体"/>
                <w:color w:val="auto"/>
                <w:sz w:val="24"/>
                <w:highlight w:val="none"/>
              </w:rPr>
              <w:t>。</w:t>
            </w:r>
          </w:p>
          <w:p>
            <w:pPr>
              <w:spacing w:line="360" w:lineRule="auto"/>
              <w:ind w:firstLine="480" w:firstLineChars="200"/>
              <w:rPr>
                <w:color w:val="auto"/>
                <w:sz w:val="24"/>
                <w:highlight w:val="none"/>
              </w:rPr>
            </w:pPr>
            <w:r>
              <w:rPr>
                <w:rFonts w:hAnsi="宋体"/>
                <w:color w:val="auto"/>
                <w:sz w:val="24"/>
                <w:highlight w:val="none"/>
              </w:rPr>
              <w:t>施工期噪声预测结果见下表。</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7-1</w:t>
            </w:r>
            <w:r>
              <w:rPr>
                <w:b/>
                <w:color w:val="auto"/>
                <w:sz w:val="24"/>
                <w:highlight w:val="none"/>
              </w:rPr>
              <w:t xml:space="preserve"> </w:t>
            </w:r>
            <w:r>
              <w:rPr>
                <w:rFonts w:hint="eastAsia"/>
                <w:b/>
                <w:color w:val="auto"/>
                <w:sz w:val="24"/>
                <w:highlight w:val="none"/>
              </w:rPr>
              <w:t xml:space="preserve"> 施工期噪声预测结果一览表</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550"/>
              <w:gridCol w:w="608"/>
              <w:gridCol w:w="608"/>
              <w:gridCol w:w="608"/>
              <w:gridCol w:w="608"/>
              <w:gridCol w:w="719"/>
              <w:gridCol w:w="719"/>
              <w:gridCol w:w="719"/>
              <w:gridCol w:w="20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782" w:type="dxa"/>
                  <w:gridSpan w:val="2"/>
                  <w:vMerge w:val="restart"/>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噪声源强</w:t>
                  </w:r>
                </w:p>
              </w:tc>
              <w:tc>
                <w:tcPr>
                  <w:tcW w:w="4589" w:type="dxa"/>
                  <w:gridSpan w:val="7"/>
                  <w:vAlign w:val="center"/>
                </w:tcPr>
                <w:p>
                  <w:pPr>
                    <w:pStyle w:val="14"/>
                    <w:ind w:firstLine="0"/>
                    <w:jc w:val="center"/>
                    <w:rPr>
                      <w:rFonts w:ascii="Times New Roman" w:hAnsi="宋体"/>
                      <w:color w:val="auto"/>
                      <w:sz w:val="21"/>
                      <w:szCs w:val="21"/>
                      <w:highlight w:val="none"/>
                    </w:rPr>
                  </w:pPr>
                  <w:r>
                    <w:rPr>
                      <w:rFonts w:ascii="Times New Roman" w:hAnsi="宋体"/>
                      <w:color w:val="auto"/>
                      <w:sz w:val="21"/>
                      <w:szCs w:val="21"/>
                      <w:highlight w:val="none"/>
                    </w:rPr>
                    <w:t>噪声预测值dB(A</w:t>
                  </w:r>
                  <w:r>
                    <w:rPr>
                      <w:rFonts w:hint="eastAsia" w:ascii="Times New Roman" w:hAnsi="宋体"/>
                      <w:color w:val="auto"/>
                      <w:sz w:val="21"/>
                      <w:szCs w:val="21"/>
                      <w:highlight w:val="none"/>
                    </w:rPr>
                    <w:t>)</w:t>
                  </w:r>
                </w:p>
              </w:tc>
              <w:tc>
                <w:tcPr>
                  <w:tcW w:w="2010" w:type="dxa"/>
                  <w:vMerge w:val="restart"/>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782" w:type="dxa"/>
                  <w:gridSpan w:val="2"/>
                  <w:vMerge w:val="continue"/>
                  <w:vAlign w:val="center"/>
                </w:tcPr>
                <w:p>
                  <w:pPr>
                    <w:pStyle w:val="14"/>
                    <w:ind w:firstLine="0"/>
                    <w:jc w:val="center"/>
                    <w:rPr>
                      <w:rFonts w:ascii="Times New Roman" w:hAnsi="宋体"/>
                      <w:color w:val="auto"/>
                      <w:sz w:val="21"/>
                      <w:szCs w:val="21"/>
                      <w:highlight w:val="none"/>
                    </w:rPr>
                  </w:pP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10m</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20m</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25m</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50m</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100m</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150m</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200m</w:t>
                  </w:r>
                </w:p>
              </w:tc>
              <w:tc>
                <w:tcPr>
                  <w:tcW w:w="2010" w:type="dxa"/>
                  <w:vMerge w:val="continue"/>
                  <w:vAlign w:val="center"/>
                </w:tcPr>
                <w:p>
                  <w:pPr>
                    <w:pStyle w:val="14"/>
                    <w:ind w:firstLine="0"/>
                    <w:jc w:val="center"/>
                    <w:rPr>
                      <w:rFonts w:ascii="Times New Roman" w:hAnsi="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32"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拆除、土石方基础施工阶段</w:t>
                  </w:r>
                </w:p>
              </w:tc>
              <w:tc>
                <w:tcPr>
                  <w:tcW w:w="550"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105</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85</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79</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77</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71</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65</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61.5</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59</w:t>
                  </w:r>
                </w:p>
              </w:tc>
              <w:tc>
                <w:tcPr>
                  <w:tcW w:w="2010" w:type="dxa"/>
                  <w:vMerge w:val="restart"/>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以施工期最强噪声值预测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32"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结构施工阶段</w:t>
                  </w:r>
                </w:p>
              </w:tc>
              <w:tc>
                <w:tcPr>
                  <w:tcW w:w="550"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100</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80</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74</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72</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66</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61</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56.5</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54</w:t>
                  </w:r>
                </w:p>
              </w:tc>
              <w:tc>
                <w:tcPr>
                  <w:tcW w:w="2010" w:type="dxa"/>
                  <w:vMerge w:val="continue"/>
                  <w:vAlign w:val="center"/>
                </w:tcPr>
                <w:p>
                  <w:pPr>
                    <w:pStyle w:val="14"/>
                    <w:ind w:firstLine="0"/>
                    <w:jc w:val="center"/>
                    <w:rPr>
                      <w:rFonts w:ascii="Times New Roman" w:hAnsi="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232"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装修安装施工阶段</w:t>
                  </w:r>
                </w:p>
              </w:tc>
              <w:tc>
                <w:tcPr>
                  <w:tcW w:w="550"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105</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85</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79</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77</w:t>
                  </w:r>
                </w:p>
              </w:tc>
              <w:tc>
                <w:tcPr>
                  <w:tcW w:w="608"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71</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65</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61.5</w:t>
                  </w:r>
                </w:p>
              </w:tc>
              <w:tc>
                <w:tcPr>
                  <w:tcW w:w="719"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59</w:t>
                  </w:r>
                </w:p>
              </w:tc>
              <w:tc>
                <w:tcPr>
                  <w:tcW w:w="2010" w:type="dxa"/>
                  <w:vMerge w:val="continue"/>
                  <w:vAlign w:val="center"/>
                </w:tcPr>
                <w:p>
                  <w:pPr>
                    <w:pStyle w:val="14"/>
                    <w:ind w:firstLine="0"/>
                    <w:jc w:val="center"/>
                    <w:rPr>
                      <w:rFonts w:ascii="Times New Roman" w:hAnsi="宋体"/>
                      <w:color w:val="auto"/>
                      <w:sz w:val="21"/>
                      <w:szCs w:val="21"/>
                      <w:highlight w:val="none"/>
                    </w:rPr>
                  </w:pPr>
                </w:p>
              </w:tc>
            </w:tr>
          </w:tbl>
          <w:p>
            <w:pPr>
              <w:spacing w:line="360" w:lineRule="auto"/>
              <w:ind w:firstLine="480" w:firstLineChars="200"/>
              <w:rPr>
                <w:color w:val="auto"/>
                <w:sz w:val="24"/>
                <w:highlight w:val="none"/>
              </w:rPr>
            </w:pPr>
            <w:r>
              <w:rPr>
                <w:color w:val="auto"/>
                <w:sz w:val="24"/>
                <w:highlight w:val="none"/>
              </w:rPr>
              <w:t>根据《建筑施工场界环境噪声排放标准》（GB12523-2011），</w:t>
            </w:r>
            <w:r>
              <w:rPr>
                <w:rFonts w:hint="eastAsia"/>
                <w:color w:val="auto"/>
                <w:sz w:val="24"/>
                <w:highlight w:val="none"/>
              </w:rPr>
              <w:t>项目</w:t>
            </w:r>
            <w:r>
              <w:rPr>
                <w:color w:val="auto"/>
                <w:sz w:val="24"/>
                <w:highlight w:val="none"/>
              </w:rPr>
              <w:t>施工阶段作业噪声限值为：昼间70dB(A)、夜间55dB(A)。从</w:t>
            </w:r>
            <w:r>
              <w:rPr>
                <w:rFonts w:hint="eastAsia"/>
                <w:color w:val="auto"/>
                <w:sz w:val="24"/>
                <w:highlight w:val="none"/>
              </w:rPr>
              <w:t>上</w:t>
            </w:r>
            <w:r>
              <w:rPr>
                <w:color w:val="auto"/>
                <w:sz w:val="24"/>
                <w:highlight w:val="none"/>
              </w:rPr>
              <w:t>表可知，仅凭距离衰减，昼间在距施工机械</w:t>
            </w:r>
            <w:r>
              <w:rPr>
                <w:rFonts w:hint="eastAsia"/>
                <w:color w:val="auto"/>
                <w:sz w:val="24"/>
                <w:highlight w:val="none"/>
              </w:rPr>
              <w:t>5</w:t>
            </w:r>
            <w:r>
              <w:rPr>
                <w:color w:val="auto"/>
                <w:sz w:val="24"/>
                <w:highlight w:val="none"/>
              </w:rPr>
              <w:t>0m处和夜间距施工机械300m处噪声才符合《建筑施工场界环境噪声排放标准》标准限值</w:t>
            </w:r>
            <w:r>
              <w:rPr>
                <w:rFonts w:hint="eastAsia"/>
                <w:color w:val="auto"/>
                <w:sz w:val="24"/>
                <w:highlight w:val="none"/>
              </w:rPr>
              <w:t>。根据现场查勘</w:t>
            </w:r>
            <w:r>
              <w:rPr>
                <w:color w:val="auto"/>
                <w:sz w:val="24"/>
                <w:highlight w:val="none"/>
              </w:rPr>
              <w:t>可知</w:t>
            </w:r>
            <w:r>
              <w:rPr>
                <w:rFonts w:hint="eastAsia"/>
                <w:color w:val="auto"/>
                <w:sz w:val="24"/>
                <w:highlight w:val="none"/>
              </w:rPr>
              <w:t>，项目厂界四周300m范围内分布有杉山社区、响水乡政府等声环境敏感点，项目施工会对其产生不利影响。</w:t>
            </w:r>
            <w:r>
              <w:rPr>
                <w:color w:val="auto"/>
                <w:sz w:val="24"/>
                <w:highlight w:val="none"/>
              </w:rPr>
              <w:t>施工噪声对环境的不利影响是短期的、暂时的，随着工程的竣工，施工噪声的影响将不再存在，但仍需采取相应的减缓措施。</w:t>
            </w:r>
          </w:p>
          <w:p>
            <w:pPr>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噪声污染防治措施</w:t>
            </w:r>
          </w:p>
          <w:p>
            <w:pPr>
              <w:spacing w:line="360" w:lineRule="auto"/>
              <w:ind w:firstLine="480" w:firstLineChars="200"/>
              <w:rPr>
                <w:color w:val="auto"/>
                <w:sz w:val="24"/>
                <w:highlight w:val="none"/>
              </w:rPr>
            </w:pPr>
            <w:r>
              <w:rPr>
                <w:rFonts w:hint="eastAsia"/>
                <w:color w:val="auto"/>
                <w:sz w:val="24"/>
                <w:highlight w:val="none"/>
              </w:rPr>
              <w:t>为进一步减轻项目施工噪声对周边声环境的影响，环评建议</w:t>
            </w:r>
            <w:r>
              <w:rPr>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①</w:t>
            </w:r>
            <w:r>
              <w:rPr>
                <w:color w:val="auto"/>
                <w:sz w:val="24"/>
                <w:highlight w:val="none"/>
              </w:rPr>
              <w:t>在运输线路的选择上，应避开居民区等敏感目标。</w:t>
            </w:r>
          </w:p>
          <w:p>
            <w:pPr>
              <w:spacing w:line="360" w:lineRule="auto"/>
              <w:ind w:firstLine="480" w:firstLineChars="200"/>
              <w:rPr>
                <w:color w:val="auto"/>
                <w:sz w:val="24"/>
                <w:highlight w:val="none"/>
              </w:rPr>
            </w:pPr>
            <w:r>
              <w:rPr>
                <w:rFonts w:hint="eastAsia"/>
                <w:color w:val="auto"/>
                <w:sz w:val="24"/>
                <w:highlight w:val="none"/>
              </w:rPr>
              <w:t>②</w:t>
            </w:r>
            <w:r>
              <w:rPr>
                <w:color w:val="auto"/>
                <w:sz w:val="24"/>
                <w:highlight w:val="none"/>
              </w:rPr>
              <w:t>从规范施工秩序着手，合理安排施工时间，合理布局施工场地，选用良好的施工设备，降低设备声级，降低人为的噪声，建立临时隔声障减少噪声污染。</w:t>
            </w:r>
          </w:p>
          <w:p>
            <w:pPr>
              <w:spacing w:line="360" w:lineRule="auto"/>
              <w:ind w:firstLine="480" w:firstLineChars="200"/>
              <w:rPr>
                <w:color w:val="auto"/>
                <w:sz w:val="24"/>
                <w:highlight w:val="none"/>
              </w:rPr>
            </w:pPr>
            <w:r>
              <w:rPr>
                <w:rFonts w:hint="eastAsia"/>
                <w:color w:val="auto"/>
                <w:sz w:val="24"/>
                <w:highlight w:val="none"/>
              </w:rPr>
              <w:t>③</w:t>
            </w:r>
            <w:r>
              <w:rPr>
                <w:color w:val="auto"/>
                <w:sz w:val="24"/>
                <w:highlight w:val="none"/>
              </w:rPr>
              <w:t>对各施工环节中噪声较为突出且又难以对声源进行降噪可能的设备装置，应采取临时围障措施，在围障</w:t>
            </w:r>
            <w:r>
              <w:rPr>
                <w:rFonts w:hint="eastAsia"/>
                <w:color w:val="auto"/>
                <w:sz w:val="24"/>
                <w:highlight w:val="none"/>
              </w:rPr>
              <w:t>内</w:t>
            </w:r>
            <w:r>
              <w:rPr>
                <w:color w:val="auto"/>
                <w:sz w:val="24"/>
                <w:highlight w:val="none"/>
              </w:rPr>
              <w:t>最好敷以吸声材料，</w:t>
            </w:r>
            <w:r>
              <w:rPr>
                <w:rFonts w:hint="eastAsia"/>
                <w:color w:val="auto"/>
                <w:sz w:val="24"/>
                <w:highlight w:val="none"/>
              </w:rPr>
              <w:t>以期</w:t>
            </w:r>
            <w:r>
              <w:rPr>
                <w:color w:val="auto"/>
                <w:sz w:val="24"/>
                <w:highlight w:val="none"/>
              </w:rPr>
              <w:t>达到降噪效果。</w:t>
            </w:r>
          </w:p>
          <w:p>
            <w:pPr>
              <w:spacing w:line="360" w:lineRule="auto"/>
              <w:ind w:firstLine="480" w:firstLineChars="200"/>
              <w:rPr>
                <w:color w:val="auto"/>
                <w:sz w:val="24"/>
                <w:highlight w:val="none"/>
              </w:rPr>
            </w:pPr>
            <w:r>
              <w:rPr>
                <w:rFonts w:hint="eastAsia"/>
                <w:color w:val="auto"/>
                <w:sz w:val="24"/>
                <w:highlight w:val="none"/>
              </w:rPr>
              <w:t>④</w:t>
            </w:r>
            <w:r>
              <w:rPr>
                <w:color w:val="auto"/>
                <w:sz w:val="24"/>
                <w:highlight w:val="none"/>
              </w:rPr>
              <w:t>遵照《湘潭市城市市区环境噪声污染防治管理办法》的规定，结合工程进度和实际情况合理安排施工时间和施工工序，工地建设应尽量避免在12:00~14:00、22:00~次日6:00的敏感时段施工，防止施工的高噪声设备产生的噪声对环境产生污染。若因工艺或特殊需要必须连续施工，施工单位应在施工前三日内报请当地环保部门批准，并向施工场地周围的居民或单位发布公告，以征得公众的理解和支持。</w:t>
            </w:r>
          </w:p>
          <w:p>
            <w:pPr>
              <w:spacing w:line="360" w:lineRule="auto"/>
              <w:ind w:firstLine="480" w:firstLineChars="200"/>
              <w:rPr>
                <w:color w:val="auto"/>
                <w:sz w:val="24"/>
                <w:highlight w:val="none"/>
              </w:rPr>
            </w:pPr>
            <w:r>
              <w:rPr>
                <w:rFonts w:hint="eastAsia"/>
                <w:color w:val="auto"/>
                <w:sz w:val="24"/>
                <w:highlight w:val="none"/>
              </w:rPr>
              <w:t>⑤</w:t>
            </w:r>
            <w:r>
              <w:rPr>
                <w:color w:val="auto"/>
                <w:sz w:val="24"/>
                <w:highlight w:val="none"/>
              </w:rPr>
              <w:t>将有固定工作地点的施工机械尽量设置在远离民居的位置，并采取适当的封闭和隔声措施。</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 xml:space="preserve">7.1.2 </w:t>
            </w:r>
            <w:r>
              <w:rPr>
                <w:b/>
                <w:color w:val="auto"/>
                <w:spacing w:val="4"/>
                <w:sz w:val="24"/>
                <w:szCs w:val="24"/>
                <w:highlight w:val="none"/>
              </w:rPr>
              <w:t>大气环境影响分析</w:t>
            </w:r>
          </w:p>
          <w:p>
            <w:pPr>
              <w:spacing w:line="360" w:lineRule="auto"/>
              <w:ind w:firstLine="480" w:firstLineChars="200"/>
              <w:rPr>
                <w:color w:val="auto"/>
                <w:sz w:val="24"/>
                <w:highlight w:val="none"/>
              </w:rPr>
            </w:pPr>
            <w:r>
              <w:rPr>
                <w:rFonts w:hint="eastAsia"/>
                <w:color w:val="auto"/>
                <w:sz w:val="24"/>
                <w:highlight w:val="none"/>
              </w:rPr>
              <w:t>（1）拆除建筑扬尘</w:t>
            </w:r>
          </w:p>
          <w:p>
            <w:pPr>
              <w:spacing w:line="360" w:lineRule="auto"/>
              <w:ind w:firstLine="480" w:firstLineChars="200"/>
              <w:rPr>
                <w:color w:val="auto"/>
                <w:sz w:val="24"/>
                <w:highlight w:val="none"/>
              </w:rPr>
            </w:pPr>
            <w:r>
              <w:rPr>
                <w:rFonts w:hint="eastAsia"/>
                <w:color w:val="auto"/>
                <w:sz w:val="24"/>
                <w:highlight w:val="none"/>
              </w:rPr>
              <w:t>根据现场查勘，项目拟建地范围内无构建筑物需要拆除，不会产生拆除建筑扬尘。</w:t>
            </w:r>
          </w:p>
          <w:p>
            <w:pPr>
              <w:spacing w:line="360" w:lineRule="auto"/>
              <w:ind w:firstLine="480" w:firstLineChars="200"/>
              <w:rPr>
                <w:color w:val="auto"/>
                <w:sz w:val="24"/>
                <w:highlight w:val="none"/>
              </w:rPr>
            </w:pPr>
            <w:r>
              <w:rPr>
                <w:rFonts w:hint="eastAsia"/>
                <w:color w:val="auto"/>
                <w:sz w:val="24"/>
                <w:highlight w:val="none"/>
              </w:rPr>
              <w:t>（2）堆场扬尘</w:t>
            </w:r>
          </w:p>
          <w:p>
            <w:pPr>
              <w:spacing w:line="360" w:lineRule="auto"/>
              <w:ind w:firstLine="480" w:firstLineChars="200"/>
              <w:rPr>
                <w:color w:val="auto"/>
                <w:sz w:val="24"/>
                <w:highlight w:val="none"/>
              </w:rPr>
            </w:pPr>
            <w:r>
              <w:rPr>
                <w:rFonts w:hint="eastAsia"/>
                <w:color w:val="auto"/>
                <w:sz w:val="24"/>
                <w:highlight w:val="none"/>
              </w:rPr>
              <w:t>堆场物料扬尘通过洒水可有效地抑制扬尘量，可使扬尘量减少70％。此外，对一些粉状材料采取一些防风措施也将有效减少扬尘污染。</w:t>
            </w:r>
          </w:p>
          <w:p>
            <w:pPr>
              <w:spacing w:line="360" w:lineRule="auto"/>
              <w:ind w:firstLine="480" w:firstLineChars="200"/>
              <w:rPr>
                <w:color w:val="auto"/>
                <w:sz w:val="24"/>
                <w:highlight w:val="none"/>
              </w:rPr>
            </w:pPr>
            <w:r>
              <w:rPr>
                <w:rFonts w:hint="eastAsia"/>
                <w:color w:val="auto"/>
                <w:sz w:val="24"/>
                <w:highlight w:val="none"/>
              </w:rPr>
              <w:t>（3）施工现场、道路扬尘</w:t>
            </w:r>
          </w:p>
          <w:p>
            <w:pPr>
              <w:spacing w:line="360" w:lineRule="auto"/>
              <w:ind w:firstLine="480" w:firstLineChars="200"/>
              <w:rPr>
                <w:color w:val="auto"/>
                <w:sz w:val="24"/>
                <w:highlight w:val="none"/>
              </w:rPr>
            </w:pPr>
            <w:r>
              <w:rPr>
                <w:rFonts w:hint="eastAsia"/>
                <w:color w:val="auto"/>
                <w:sz w:val="24"/>
                <w:highlight w:val="none"/>
              </w:rPr>
              <w:t>根据本报告5.2.2节内容可知，施工期施工现场、车辆运输产生的尘污染比较严重。但是，通过对施工期地面洒水，可以有效地抑制扬尘的扩散，下表7-2是同类施工场地洒水降尘测试结果。</w:t>
            </w:r>
          </w:p>
          <w:p>
            <w:pPr>
              <w:snapToGrid w:val="0"/>
              <w:spacing w:line="360" w:lineRule="auto"/>
              <w:jc w:val="center"/>
              <w:rPr>
                <w:b/>
                <w:color w:val="auto"/>
                <w:sz w:val="24"/>
                <w:highlight w:val="none"/>
              </w:rPr>
            </w:pPr>
            <w:r>
              <w:rPr>
                <w:rFonts w:hint="eastAsia"/>
                <w:b/>
                <w:color w:val="auto"/>
                <w:sz w:val="24"/>
                <w:highlight w:val="none"/>
              </w:rPr>
              <w:t>表7-2  施工场地洒水降尘测试结果</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835"/>
              <w:gridCol w:w="1086"/>
              <w:gridCol w:w="1047"/>
              <w:gridCol w:w="1291"/>
              <w:gridCol w:w="1291"/>
              <w:gridCol w:w="12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3375" w:type="dxa"/>
                  <w:gridSpan w:val="2"/>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距离项目施工场地（m）</w:t>
                  </w:r>
                </w:p>
              </w:tc>
              <w:tc>
                <w:tcPr>
                  <w:tcW w:w="1086"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0</w:t>
                  </w:r>
                </w:p>
              </w:tc>
              <w:tc>
                <w:tcPr>
                  <w:tcW w:w="1047"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20</w:t>
                  </w:r>
                </w:p>
              </w:tc>
              <w:tc>
                <w:tcPr>
                  <w:tcW w:w="1291"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30</w:t>
                  </w:r>
                </w:p>
              </w:tc>
              <w:tc>
                <w:tcPr>
                  <w:tcW w:w="1291"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100</w:t>
                  </w:r>
                </w:p>
              </w:tc>
              <w:tc>
                <w:tcPr>
                  <w:tcW w:w="1291"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40" w:type="dxa"/>
                  <w:vMerge w:val="restart"/>
                  <w:vAlign w:val="center"/>
                </w:tcPr>
                <w:p>
                  <w:pPr>
                    <w:pStyle w:val="14"/>
                    <w:ind w:firstLine="0"/>
                    <w:jc w:val="center"/>
                    <w:rPr>
                      <w:rFonts w:ascii="Times New Roman" w:hAnsi="宋体"/>
                      <w:color w:val="auto"/>
                      <w:sz w:val="21"/>
                      <w:szCs w:val="21"/>
                      <w:highlight w:val="none"/>
                    </w:rPr>
                  </w:pPr>
                  <w:r>
                    <w:rPr>
                      <w:rFonts w:ascii="Times New Roman" w:hAnsi="宋体"/>
                      <w:color w:val="auto"/>
                      <w:sz w:val="21"/>
                      <w:szCs w:val="21"/>
                      <w:highlight w:val="none"/>
                    </w:rPr>
                    <w:t>TSP</w:t>
                  </w:r>
                </w:p>
                <w:p>
                  <w:pPr>
                    <w:pStyle w:val="14"/>
                    <w:ind w:firstLine="0"/>
                    <w:jc w:val="center"/>
                    <w:rPr>
                      <w:rFonts w:ascii="Times New Roman" w:hAnsi="宋体"/>
                      <w:color w:val="auto"/>
                      <w:sz w:val="21"/>
                      <w:szCs w:val="21"/>
                      <w:highlight w:val="none"/>
                    </w:rPr>
                  </w:pPr>
                  <w:r>
                    <w:rPr>
                      <w:rFonts w:ascii="Times New Roman" w:hAnsi="宋体"/>
                      <w:color w:val="auto"/>
                      <w:sz w:val="21"/>
                      <w:szCs w:val="21"/>
                      <w:highlight w:val="none"/>
                    </w:rPr>
                    <w:t>(mg/Nm</w:t>
                  </w:r>
                  <w:r>
                    <w:rPr>
                      <w:rFonts w:ascii="Times New Roman" w:hAnsi="宋体"/>
                      <w:color w:val="auto"/>
                      <w:sz w:val="21"/>
                      <w:szCs w:val="21"/>
                      <w:highlight w:val="none"/>
                      <w:vertAlign w:val="superscript"/>
                    </w:rPr>
                    <w:t>3</w:t>
                  </w:r>
                  <w:r>
                    <w:rPr>
                      <w:rFonts w:ascii="Times New Roman" w:hAnsi="宋体"/>
                      <w:color w:val="auto"/>
                      <w:sz w:val="21"/>
                      <w:szCs w:val="21"/>
                      <w:highlight w:val="none"/>
                    </w:rPr>
                    <w:t>)</w:t>
                  </w:r>
                </w:p>
              </w:tc>
              <w:tc>
                <w:tcPr>
                  <w:tcW w:w="1835"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不洒水</w:t>
                  </w:r>
                </w:p>
              </w:tc>
              <w:tc>
                <w:tcPr>
                  <w:tcW w:w="1086"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11.03</w:t>
                  </w:r>
                </w:p>
              </w:tc>
              <w:tc>
                <w:tcPr>
                  <w:tcW w:w="1047"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1.89</w:t>
                  </w:r>
                </w:p>
              </w:tc>
              <w:tc>
                <w:tcPr>
                  <w:tcW w:w="1291"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1.15</w:t>
                  </w:r>
                </w:p>
              </w:tc>
              <w:tc>
                <w:tcPr>
                  <w:tcW w:w="1291"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0.86</w:t>
                  </w:r>
                </w:p>
              </w:tc>
              <w:tc>
                <w:tcPr>
                  <w:tcW w:w="1291"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0.56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540" w:type="dxa"/>
                  <w:vMerge w:val="continue"/>
                  <w:vAlign w:val="center"/>
                </w:tcPr>
                <w:p>
                  <w:pPr>
                    <w:pStyle w:val="14"/>
                    <w:ind w:firstLine="0"/>
                    <w:jc w:val="center"/>
                    <w:rPr>
                      <w:rFonts w:ascii="Times New Roman" w:hAnsi="宋体"/>
                      <w:color w:val="auto"/>
                      <w:sz w:val="21"/>
                      <w:szCs w:val="21"/>
                      <w:highlight w:val="none"/>
                    </w:rPr>
                  </w:pPr>
                </w:p>
              </w:tc>
              <w:tc>
                <w:tcPr>
                  <w:tcW w:w="1835"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洒水</w:t>
                  </w:r>
                </w:p>
              </w:tc>
              <w:tc>
                <w:tcPr>
                  <w:tcW w:w="1086"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2.11</w:t>
                  </w:r>
                </w:p>
              </w:tc>
              <w:tc>
                <w:tcPr>
                  <w:tcW w:w="1047"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1.40</w:t>
                  </w:r>
                </w:p>
              </w:tc>
              <w:tc>
                <w:tcPr>
                  <w:tcW w:w="1291"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0.68</w:t>
                  </w:r>
                </w:p>
              </w:tc>
              <w:tc>
                <w:tcPr>
                  <w:tcW w:w="1291"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0.60</w:t>
                  </w:r>
                </w:p>
              </w:tc>
              <w:tc>
                <w:tcPr>
                  <w:tcW w:w="1291" w:type="dxa"/>
                  <w:vAlign w:val="center"/>
                </w:tcPr>
                <w:p>
                  <w:pPr>
                    <w:pStyle w:val="14"/>
                    <w:ind w:firstLine="0"/>
                    <w:jc w:val="center"/>
                    <w:rPr>
                      <w:rFonts w:ascii="Times New Roman" w:hAnsi="宋体"/>
                      <w:color w:val="auto"/>
                      <w:sz w:val="21"/>
                      <w:szCs w:val="21"/>
                      <w:highlight w:val="none"/>
                    </w:rPr>
                  </w:pPr>
                  <w:r>
                    <w:rPr>
                      <w:rFonts w:hint="eastAsia" w:ascii="Times New Roman" w:hAnsi="宋体"/>
                      <w:color w:val="auto"/>
                      <w:sz w:val="21"/>
                      <w:szCs w:val="21"/>
                      <w:highlight w:val="none"/>
                    </w:rPr>
                    <w:t>0.29</w:t>
                  </w:r>
                </w:p>
              </w:tc>
            </w:tr>
          </w:tbl>
          <w:p>
            <w:pPr>
              <w:spacing w:line="360" w:lineRule="auto"/>
              <w:ind w:firstLine="480" w:firstLineChars="200"/>
              <w:rPr>
                <w:color w:val="auto"/>
                <w:sz w:val="24"/>
                <w:highlight w:val="none"/>
              </w:rPr>
            </w:pPr>
            <w:r>
              <w:rPr>
                <w:rFonts w:hint="eastAsia"/>
                <w:color w:val="auto"/>
                <w:sz w:val="24"/>
                <w:highlight w:val="none"/>
              </w:rPr>
              <w:t>根据上表数据显示，采用洒水的方式对降尘有比较明显的效果，因此在人口稠密集中点，起尘量大的施工区域应采取经常洒水的方式以抑制降尘的产生。</w:t>
            </w:r>
          </w:p>
          <w:p>
            <w:pPr>
              <w:spacing w:line="360" w:lineRule="auto"/>
              <w:ind w:firstLine="480" w:firstLineChars="200"/>
              <w:rPr>
                <w:color w:val="auto"/>
                <w:sz w:val="24"/>
                <w:highlight w:val="none"/>
              </w:rPr>
            </w:pPr>
            <w:r>
              <w:rPr>
                <w:rFonts w:hint="eastAsia"/>
                <w:color w:val="auto"/>
                <w:sz w:val="24"/>
                <w:highlight w:val="none"/>
              </w:rPr>
              <w:t>此外，要加强对粉状施工材料的运输管理，使用帆布密封或采用罐体车运输，以最大限度的减少原材料运输过程中产生的扬尘。</w:t>
            </w:r>
          </w:p>
          <w:p>
            <w:pPr>
              <w:spacing w:line="360" w:lineRule="auto"/>
              <w:ind w:firstLine="480" w:firstLineChars="200"/>
              <w:rPr>
                <w:color w:val="auto"/>
                <w:sz w:val="24"/>
                <w:highlight w:val="none"/>
              </w:rPr>
            </w:pPr>
            <w:r>
              <w:rPr>
                <w:rFonts w:hint="eastAsia"/>
                <w:color w:val="auto"/>
                <w:sz w:val="24"/>
                <w:highlight w:val="none"/>
              </w:rPr>
              <w:t>（4）施工机械燃油废气影响分析</w:t>
            </w:r>
          </w:p>
          <w:p>
            <w:pPr>
              <w:spacing w:line="360" w:lineRule="auto"/>
              <w:ind w:firstLine="480" w:firstLineChars="200"/>
              <w:rPr>
                <w:color w:val="auto"/>
                <w:sz w:val="24"/>
                <w:highlight w:val="none"/>
              </w:rPr>
            </w:pPr>
            <w:r>
              <w:rPr>
                <w:rFonts w:hint="eastAsia"/>
                <w:color w:val="auto"/>
                <w:sz w:val="24"/>
                <w:highlight w:val="none"/>
              </w:rPr>
              <w:t>施工中将使用各类大、中、小施工机械，主要以汽油、柴油等燃烧为动力，其燃料废气中主要含SO</w:t>
            </w:r>
            <w:r>
              <w:rPr>
                <w:rFonts w:hint="eastAsia"/>
                <w:color w:val="auto"/>
                <w:sz w:val="24"/>
                <w:highlight w:val="none"/>
                <w:vertAlign w:val="subscript"/>
              </w:rPr>
              <w:t>2</w:t>
            </w:r>
            <w:r>
              <w:rPr>
                <w:rFonts w:hint="eastAsia"/>
                <w:color w:val="auto"/>
                <w:sz w:val="24"/>
                <w:highlight w:val="none"/>
              </w:rPr>
              <w:t>、NO</w:t>
            </w:r>
            <w:r>
              <w:rPr>
                <w:rFonts w:hint="eastAsia"/>
                <w:color w:val="auto"/>
                <w:sz w:val="24"/>
                <w:highlight w:val="none"/>
                <w:vertAlign w:val="subscript"/>
              </w:rPr>
              <w:t>X</w:t>
            </w:r>
            <w:r>
              <w:rPr>
                <w:rFonts w:hint="eastAsia"/>
                <w:color w:val="auto"/>
                <w:sz w:val="24"/>
                <w:highlight w:val="none"/>
              </w:rPr>
              <w:t>、HC等。在施工过程中必须选用高性能、低污染的施工机械，减轻燃料废气对区域环境空气的影响。施工机械燃料废气污染随着工程的结束而结束。</w:t>
            </w:r>
          </w:p>
          <w:p>
            <w:pPr>
              <w:spacing w:line="360" w:lineRule="auto"/>
              <w:ind w:firstLine="480" w:firstLineChars="200"/>
              <w:rPr>
                <w:color w:val="auto"/>
                <w:sz w:val="24"/>
                <w:highlight w:val="none"/>
              </w:rPr>
            </w:pPr>
            <w:r>
              <w:rPr>
                <w:rFonts w:hint="eastAsia"/>
                <w:color w:val="auto"/>
                <w:sz w:val="24"/>
                <w:highlight w:val="none"/>
              </w:rPr>
              <w:t>（5）施工期扬尘污染对敏感点的影响分析</w:t>
            </w:r>
          </w:p>
          <w:p>
            <w:pPr>
              <w:spacing w:line="360" w:lineRule="auto"/>
              <w:ind w:firstLine="480" w:firstLineChars="200"/>
              <w:rPr>
                <w:color w:val="auto"/>
                <w:sz w:val="24"/>
                <w:highlight w:val="none"/>
              </w:rPr>
            </w:pPr>
            <w:r>
              <w:rPr>
                <w:color w:val="auto"/>
                <w:sz w:val="24"/>
                <w:highlight w:val="none"/>
              </w:rPr>
              <w:t>项目施工期大气环境保护对象主要为</w:t>
            </w:r>
            <w:r>
              <w:rPr>
                <w:rFonts w:hint="eastAsia"/>
                <w:color w:val="auto"/>
                <w:sz w:val="24"/>
                <w:highlight w:val="none"/>
              </w:rPr>
              <w:t>项目南面的响水乡政府、杉山学校及杉山社区，为减少施工扬尘的影响</w:t>
            </w:r>
            <w:r>
              <w:rPr>
                <w:color w:val="auto"/>
                <w:sz w:val="24"/>
                <w:highlight w:val="none"/>
              </w:rPr>
              <w:t>，项目在施工过程中应严格执行《湘潭市城区扬尘污染防治管理办法》（潭政办发[2009]33）文件要求：</w:t>
            </w:r>
          </w:p>
          <w:p>
            <w:pPr>
              <w:spacing w:line="360" w:lineRule="auto"/>
              <w:ind w:firstLine="480" w:firstLineChars="200"/>
              <w:rPr>
                <w:color w:val="auto"/>
                <w:sz w:val="24"/>
                <w:highlight w:val="none"/>
              </w:rPr>
            </w:pPr>
            <w:r>
              <w:rPr>
                <w:rFonts w:hint="eastAsia"/>
                <w:color w:val="auto"/>
                <w:sz w:val="24"/>
                <w:highlight w:val="none"/>
              </w:rPr>
              <w:t>①</w:t>
            </w:r>
            <w:r>
              <w:rPr>
                <w:color w:val="auto"/>
                <w:sz w:val="24"/>
                <w:highlight w:val="none"/>
              </w:rPr>
              <w:t>建设施工工地周围应当设置不低于2.2m的硬质封闭围挡。另外，设置围挡应考虑道路安全视距的需要，不得遮挡交通设施和影响道路交通安全。</w:t>
            </w:r>
          </w:p>
          <w:p>
            <w:pPr>
              <w:spacing w:line="360" w:lineRule="auto"/>
              <w:ind w:firstLine="480" w:firstLineChars="200"/>
              <w:rPr>
                <w:color w:val="auto"/>
                <w:sz w:val="24"/>
                <w:highlight w:val="none"/>
              </w:rPr>
            </w:pPr>
            <w:r>
              <w:rPr>
                <w:rFonts w:hint="eastAsia"/>
                <w:color w:val="auto"/>
                <w:sz w:val="24"/>
                <w:highlight w:val="none"/>
              </w:rPr>
              <w:t>②</w:t>
            </w:r>
            <w:r>
              <w:rPr>
                <w:color w:val="auto"/>
                <w:sz w:val="24"/>
                <w:highlight w:val="none"/>
              </w:rPr>
              <w:t>遇到干燥、易起尘的土方工程作业时，应辅以洒水压尘，尽量缩短起尘操作时间。四级或四级以上大风天气，应停止土方作业，同时作业处覆以防尘网。</w:t>
            </w:r>
          </w:p>
          <w:p>
            <w:pPr>
              <w:spacing w:line="360" w:lineRule="auto"/>
              <w:ind w:firstLine="480" w:firstLineChars="200"/>
              <w:rPr>
                <w:color w:val="auto"/>
                <w:sz w:val="24"/>
                <w:highlight w:val="none"/>
              </w:rPr>
            </w:pPr>
            <w:r>
              <w:rPr>
                <w:rFonts w:hint="eastAsia"/>
                <w:color w:val="auto"/>
                <w:sz w:val="24"/>
                <w:highlight w:val="none"/>
              </w:rPr>
              <w:t>③</w:t>
            </w:r>
            <w:r>
              <w:rPr>
                <w:color w:val="auto"/>
                <w:sz w:val="24"/>
                <w:highlight w:val="none"/>
              </w:rPr>
              <w:t>施工过程中使用水泥、石灰、砂石、铺装材料等易产生扬尘的建筑材料，应采取密封存储、设置围挡或堆砌围墙、用防尘布苫盖等措施。</w:t>
            </w:r>
          </w:p>
          <w:p>
            <w:pPr>
              <w:spacing w:line="360" w:lineRule="auto"/>
              <w:ind w:firstLine="480" w:firstLineChars="200"/>
              <w:rPr>
                <w:color w:val="auto"/>
                <w:sz w:val="24"/>
                <w:highlight w:val="none"/>
              </w:rPr>
            </w:pPr>
            <w:r>
              <w:rPr>
                <w:rFonts w:hint="eastAsia"/>
                <w:color w:val="auto"/>
                <w:sz w:val="24"/>
                <w:highlight w:val="none"/>
              </w:rPr>
              <w:t>④</w:t>
            </w:r>
            <w:r>
              <w:rPr>
                <w:color w:val="auto"/>
                <w:sz w:val="24"/>
                <w:highlight w:val="none"/>
              </w:rPr>
              <w:t>施工过程中产生的弃土、弃料及其它建筑垃圾，应及时清运。若在工地内堆置超过一周的，则应采取覆盖防尘布、防尘网，定期喷洒抑尘剂，定期喷水压尘等措施，防止风蚀起尘及水蚀迁移。</w:t>
            </w:r>
          </w:p>
          <w:p>
            <w:pPr>
              <w:spacing w:line="360" w:lineRule="auto"/>
              <w:ind w:firstLine="480" w:firstLineChars="200"/>
              <w:rPr>
                <w:color w:val="auto"/>
                <w:sz w:val="24"/>
                <w:highlight w:val="none"/>
              </w:rPr>
            </w:pPr>
            <w:r>
              <w:rPr>
                <w:rFonts w:hint="eastAsia"/>
                <w:color w:val="auto"/>
                <w:sz w:val="24"/>
                <w:highlight w:val="none"/>
              </w:rPr>
              <w:t>⑤</w:t>
            </w:r>
            <w:r>
              <w:rPr>
                <w:color w:val="auto"/>
                <w:sz w:val="24"/>
                <w:highlight w:val="none"/>
              </w:rPr>
              <w:t>工地大门设置洗车平台，完善排水设施，防止泥土粘带。一切车辆驶离工地前，需强制冲洗，应在洗车平台清洗轮胎及车身，不得带泥上路。同时洗车平台四周应设置废水导流渠、收集池、沉砂池等。</w:t>
            </w:r>
          </w:p>
          <w:p>
            <w:pPr>
              <w:spacing w:line="360" w:lineRule="auto"/>
              <w:ind w:firstLine="480" w:firstLineChars="200"/>
              <w:rPr>
                <w:color w:val="auto"/>
                <w:sz w:val="24"/>
                <w:highlight w:val="none"/>
              </w:rPr>
            </w:pPr>
            <w:r>
              <w:rPr>
                <w:rFonts w:hint="eastAsia"/>
                <w:color w:val="auto"/>
                <w:sz w:val="24"/>
                <w:highlight w:val="none"/>
              </w:rPr>
              <w:t>⑥</w:t>
            </w:r>
            <w:r>
              <w:rPr>
                <w:color w:val="auto"/>
                <w:sz w:val="24"/>
                <w:highlight w:val="none"/>
              </w:rPr>
              <w:t>运输车辆尽可能采用密闭车斗，并保证物料不遗撒外漏。若无密闭车斗，物料、垃圾、渣土的装载高度不得超过车辆槽帮上沿，车斗应用苫布遮盖严实，保证物料、渣土、垃圾不露出。车辆应按照批准的路线和时间进行运输。</w:t>
            </w:r>
          </w:p>
          <w:p>
            <w:pPr>
              <w:spacing w:line="360" w:lineRule="auto"/>
              <w:ind w:firstLine="480" w:firstLineChars="200"/>
              <w:rPr>
                <w:color w:val="auto"/>
                <w:sz w:val="24"/>
                <w:highlight w:val="none"/>
              </w:rPr>
            </w:pPr>
            <w:r>
              <w:rPr>
                <w:rFonts w:hint="eastAsia"/>
                <w:color w:val="auto"/>
                <w:sz w:val="24"/>
                <w:highlight w:val="none"/>
              </w:rPr>
              <w:t>⑦</w:t>
            </w:r>
            <w:r>
              <w:rPr>
                <w:color w:val="auto"/>
                <w:sz w:val="24"/>
                <w:highlight w:val="none"/>
              </w:rPr>
              <w:t>施工工地内及工地出口至</w:t>
            </w:r>
            <w:r>
              <w:rPr>
                <w:rFonts w:hint="eastAsia"/>
                <w:color w:val="auto"/>
                <w:sz w:val="24"/>
                <w:highlight w:val="none"/>
              </w:rPr>
              <w:t>护潭路</w:t>
            </w:r>
            <w:r>
              <w:rPr>
                <w:color w:val="auto"/>
                <w:sz w:val="24"/>
                <w:highlight w:val="none"/>
              </w:rPr>
              <w:t>间的车行道路，应保持清洁，可采取铺设钢板、铺设混凝土路面方式，辅以洒水、喷洒抑尘剂，防止机动车扬尘</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⑧</w:t>
            </w:r>
            <w:r>
              <w:rPr>
                <w:color w:val="auto"/>
                <w:sz w:val="24"/>
                <w:highlight w:val="none"/>
              </w:rPr>
              <w:t>工地裸地防尘要做到：覆盖防尘布或防尘网、植被绿化、天晴勤洒水、工地建筑结构脚手架外侧设置有效抑尘的密目防尘网或防尘布。</w:t>
            </w:r>
          </w:p>
          <w:p>
            <w:pPr>
              <w:spacing w:line="360" w:lineRule="auto"/>
              <w:ind w:firstLine="480" w:firstLineChars="200"/>
              <w:rPr>
                <w:color w:val="auto"/>
                <w:sz w:val="24"/>
                <w:highlight w:val="none"/>
              </w:rPr>
            </w:pPr>
            <w:r>
              <w:rPr>
                <w:rFonts w:hint="eastAsia"/>
                <w:color w:val="auto"/>
                <w:sz w:val="24"/>
                <w:highlight w:val="none"/>
              </w:rPr>
              <w:t>⑨</w:t>
            </w:r>
            <w:r>
              <w:rPr>
                <w:color w:val="auto"/>
                <w:sz w:val="24"/>
                <w:highlight w:val="none"/>
              </w:rPr>
              <w:t>使用商品混凝土和预拌砂浆，不得现场搅拌、消化石灰及拌石灰土等，应尽量使用成品或半成品石材，实施装配式施工，减少因切割造成的扬尘。</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7.1.3 水</w:t>
            </w:r>
            <w:r>
              <w:rPr>
                <w:b/>
                <w:color w:val="auto"/>
                <w:spacing w:val="4"/>
                <w:sz w:val="24"/>
                <w:szCs w:val="24"/>
                <w:highlight w:val="none"/>
              </w:rPr>
              <w:t>环境影响分析</w:t>
            </w:r>
          </w:p>
          <w:p>
            <w:pPr>
              <w:spacing w:line="360" w:lineRule="auto"/>
              <w:ind w:firstLine="480" w:firstLineChars="200"/>
              <w:rPr>
                <w:color w:val="auto"/>
                <w:sz w:val="24"/>
                <w:highlight w:val="none"/>
              </w:rPr>
            </w:pPr>
            <w:r>
              <w:rPr>
                <w:rFonts w:hint="eastAsia"/>
                <w:color w:val="auto"/>
                <w:sz w:val="24"/>
                <w:highlight w:val="none"/>
              </w:rPr>
              <w:t>施工期废水主要是生产废水和生活污水，其中生产废水含有一定量的油污和泥沙，生活废水主要污染因子有COD、悬浮物等，如不处理直接排放会对项目周边地表水体水质产生不良影响。因此，工程施工期间，施工单位应严格执行《建设工程施工地文明施工及环境管理暂行规定》，对污水的排放进行组织设计，严禁乱排、乱流污染道路。</w:t>
            </w:r>
          </w:p>
          <w:p>
            <w:pPr>
              <w:spacing w:line="360" w:lineRule="auto"/>
              <w:ind w:firstLine="480" w:firstLineChars="200"/>
              <w:rPr>
                <w:color w:val="auto"/>
                <w:sz w:val="24"/>
                <w:highlight w:val="none"/>
              </w:rPr>
            </w:pPr>
            <w:r>
              <w:rPr>
                <w:rFonts w:hint="eastAsia"/>
                <w:color w:val="auto"/>
                <w:sz w:val="24"/>
                <w:highlight w:val="none"/>
              </w:rPr>
              <w:t>本项目施工期废水需采取以下措施：</w:t>
            </w:r>
          </w:p>
          <w:p>
            <w:pPr>
              <w:spacing w:line="360" w:lineRule="auto"/>
              <w:ind w:firstLine="480" w:firstLineChars="200"/>
              <w:rPr>
                <w:color w:val="auto"/>
                <w:sz w:val="24"/>
                <w:highlight w:val="none"/>
              </w:rPr>
            </w:pPr>
            <w:r>
              <w:rPr>
                <w:rFonts w:hint="eastAsia"/>
                <w:color w:val="auto"/>
                <w:sz w:val="24"/>
                <w:highlight w:val="none"/>
              </w:rPr>
              <w:t>①建设导流沟</w:t>
            </w:r>
          </w:p>
          <w:p>
            <w:pPr>
              <w:spacing w:line="360" w:lineRule="auto"/>
              <w:ind w:firstLine="480" w:firstLineChars="200"/>
              <w:rPr>
                <w:color w:val="auto"/>
                <w:sz w:val="24"/>
                <w:highlight w:val="none"/>
              </w:rPr>
            </w:pPr>
            <w:r>
              <w:rPr>
                <w:rFonts w:hint="eastAsia"/>
                <w:color w:val="auto"/>
                <w:sz w:val="24"/>
                <w:highlight w:val="none"/>
              </w:rPr>
              <w:t>在施工场地建设临时导流沟，将暴雨径流引至排水渠，避免雨水横流现象。</w:t>
            </w:r>
          </w:p>
          <w:p>
            <w:pPr>
              <w:spacing w:line="360" w:lineRule="auto"/>
              <w:ind w:firstLine="480" w:firstLineChars="200"/>
              <w:rPr>
                <w:color w:val="auto"/>
                <w:sz w:val="24"/>
                <w:highlight w:val="none"/>
              </w:rPr>
            </w:pPr>
            <w:r>
              <w:rPr>
                <w:rFonts w:hint="eastAsia"/>
                <w:color w:val="auto"/>
                <w:sz w:val="24"/>
                <w:highlight w:val="none"/>
              </w:rPr>
              <w:t>②建设蓄水池</w:t>
            </w:r>
          </w:p>
          <w:p>
            <w:pPr>
              <w:spacing w:line="360" w:lineRule="auto"/>
              <w:ind w:firstLine="480" w:firstLineChars="200"/>
              <w:rPr>
                <w:color w:val="auto"/>
                <w:sz w:val="24"/>
                <w:highlight w:val="none"/>
              </w:rPr>
            </w:pPr>
            <w:r>
              <w:rPr>
                <w:rFonts w:hint="eastAsia"/>
                <w:color w:val="auto"/>
                <w:sz w:val="24"/>
                <w:highlight w:val="none"/>
              </w:rPr>
              <w:t>在施工场地建设临时蓄水池，将开挖基础产生的地下排水收集储存，并回用于施工场地裸地和土方的洒水抑尘。</w:t>
            </w:r>
          </w:p>
          <w:p>
            <w:pPr>
              <w:spacing w:line="360" w:lineRule="auto"/>
              <w:ind w:firstLine="480" w:firstLineChars="200"/>
              <w:rPr>
                <w:color w:val="auto"/>
                <w:sz w:val="24"/>
                <w:highlight w:val="none"/>
              </w:rPr>
            </w:pPr>
            <w:r>
              <w:rPr>
                <w:rFonts w:hint="eastAsia"/>
                <w:color w:val="auto"/>
                <w:sz w:val="24"/>
                <w:highlight w:val="none"/>
              </w:rPr>
              <w:t>③设置循环水池</w:t>
            </w:r>
          </w:p>
          <w:p>
            <w:pPr>
              <w:spacing w:line="360" w:lineRule="auto"/>
              <w:ind w:firstLine="480" w:firstLineChars="200"/>
              <w:rPr>
                <w:color w:val="auto"/>
                <w:sz w:val="24"/>
                <w:highlight w:val="none"/>
              </w:rPr>
            </w:pPr>
            <w:r>
              <w:rPr>
                <w:rFonts w:hint="eastAsia"/>
                <w:color w:val="auto"/>
                <w:sz w:val="24"/>
                <w:highlight w:val="none"/>
              </w:rPr>
              <w:t>在施工场地设置循环水池，将设备冷却水降温后循环使用，以节约用水。</w:t>
            </w:r>
          </w:p>
          <w:p>
            <w:pPr>
              <w:spacing w:line="360" w:lineRule="auto"/>
              <w:ind w:firstLine="480" w:firstLineChars="200"/>
              <w:rPr>
                <w:color w:val="auto"/>
                <w:sz w:val="24"/>
                <w:highlight w:val="none"/>
              </w:rPr>
            </w:pPr>
            <w:r>
              <w:rPr>
                <w:rFonts w:hint="eastAsia"/>
                <w:color w:val="auto"/>
                <w:sz w:val="24"/>
                <w:highlight w:val="none"/>
              </w:rPr>
              <w:t>④车辆、设备冲洗水循环使用</w:t>
            </w:r>
          </w:p>
          <w:p>
            <w:pPr>
              <w:spacing w:line="360" w:lineRule="auto"/>
              <w:ind w:firstLine="480" w:firstLineChars="200"/>
              <w:rPr>
                <w:color w:val="auto"/>
                <w:sz w:val="24"/>
                <w:highlight w:val="none"/>
              </w:rPr>
            </w:pPr>
            <w:r>
              <w:rPr>
                <w:rFonts w:hint="eastAsia"/>
                <w:color w:val="auto"/>
                <w:sz w:val="24"/>
                <w:highlight w:val="none"/>
              </w:rPr>
              <w:t>设置沉淀池，将设备、车辆洗涤水简单处理后循环使用，禁止此类废水直接外排。</w:t>
            </w:r>
          </w:p>
          <w:p>
            <w:pPr>
              <w:spacing w:line="360" w:lineRule="auto"/>
              <w:ind w:firstLine="480" w:firstLineChars="200"/>
              <w:rPr>
                <w:color w:val="auto"/>
                <w:sz w:val="24"/>
                <w:highlight w:val="none"/>
              </w:rPr>
            </w:pPr>
            <w:r>
              <w:rPr>
                <w:rFonts w:hint="eastAsia"/>
                <w:color w:val="auto"/>
                <w:sz w:val="24"/>
                <w:highlight w:val="none"/>
              </w:rPr>
              <w:t>⑤租用现有的生活设施</w:t>
            </w:r>
          </w:p>
          <w:p>
            <w:pPr>
              <w:spacing w:line="360" w:lineRule="auto"/>
              <w:ind w:firstLine="480" w:firstLineChars="200"/>
              <w:rPr>
                <w:color w:val="auto"/>
                <w:sz w:val="24"/>
                <w:highlight w:val="none"/>
              </w:rPr>
            </w:pPr>
            <w:r>
              <w:rPr>
                <w:rFonts w:hint="eastAsia"/>
                <w:color w:val="auto"/>
                <w:sz w:val="24"/>
                <w:highlight w:val="none"/>
              </w:rPr>
              <w:t>施工人员日常生活排放的生活污水，若处置不当，会污染周边水体水质。本项目</w:t>
            </w:r>
            <w:r>
              <w:rPr>
                <w:color w:val="auto"/>
                <w:sz w:val="24"/>
                <w:highlight w:val="none"/>
              </w:rPr>
              <w:t>施工</w:t>
            </w:r>
            <w:r>
              <w:rPr>
                <w:rFonts w:hint="eastAsia"/>
                <w:color w:val="auto"/>
                <w:sz w:val="24"/>
                <w:highlight w:val="none"/>
              </w:rPr>
              <w:t>场地不设生活营地，施工人员租赁项目周边现有房屋居住，其生活废水利用当地现有污水处理设施处理。</w:t>
            </w:r>
          </w:p>
          <w:p>
            <w:pPr>
              <w:spacing w:line="360" w:lineRule="auto"/>
              <w:ind w:firstLine="480" w:firstLineChars="200"/>
              <w:rPr>
                <w:color w:val="auto"/>
                <w:sz w:val="24"/>
                <w:highlight w:val="none"/>
              </w:rPr>
            </w:pPr>
            <w:r>
              <w:rPr>
                <w:rFonts w:hint="eastAsia"/>
                <w:color w:val="auto"/>
                <w:sz w:val="24"/>
                <w:highlight w:val="none"/>
              </w:rPr>
              <w:t>采取上述措施后，可以有效地做好施工污水的防治，加之施工活动周期较短，因此项目施工期废水不会导致施工场地周围水环境的污染。</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7.1.4 固体废弃物</w:t>
            </w:r>
            <w:r>
              <w:rPr>
                <w:b/>
                <w:color w:val="auto"/>
                <w:spacing w:val="4"/>
                <w:sz w:val="24"/>
                <w:szCs w:val="24"/>
                <w:highlight w:val="none"/>
              </w:rPr>
              <w:t>环境影响分析</w:t>
            </w:r>
          </w:p>
          <w:p>
            <w:pPr>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建筑垃圾</w:t>
            </w:r>
          </w:p>
          <w:p>
            <w:pPr>
              <w:spacing w:line="360" w:lineRule="auto"/>
              <w:ind w:firstLine="480" w:firstLineChars="200"/>
              <w:rPr>
                <w:color w:val="auto"/>
                <w:sz w:val="24"/>
                <w:highlight w:val="none"/>
              </w:rPr>
            </w:pPr>
            <w:r>
              <w:rPr>
                <w:rFonts w:hint="eastAsia"/>
                <w:color w:val="auto"/>
                <w:sz w:val="24"/>
                <w:highlight w:val="none"/>
              </w:rPr>
              <w:t>项目建筑垃圾产生量约1697吨，产生的建筑垃圾定点堆放，</w:t>
            </w:r>
            <w:r>
              <w:rPr>
                <w:color w:val="auto"/>
                <w:sz w:val="24"/>
                <w:highlight w:val="none"/>
              </w:rPr>
              <w:t>委托湘潭市渣土办统一处置</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（2）弃方</w:t>
            </w:r>
          </w:p>
          <w:p>
            <w:pPr>
              <w:spacing w:line="360" w:lineRule="auto"/>
              <w:ind w:firstLine="480" w:firstLineChars="200"/>
              <w:rPr>
                <w:color w:val="auto"/>
                <w:sz w:val="24"/>
                <w:highlight w:val="none"/>
              </w:rPr>
            </w:pPr>
            <w:r>
              <w:rPr>
                <w:rFonts w:hint="eastAsia"/>
                <w:color w:val="auto"/>
                <w:sz w:val="24"/>
                <w:highlight w:val="none"/>
              </w:rPr>
              <w:t>根据现场查勘，项目拟建地80%的土地现已平整，剩余20%的土地保持原有城郊风貌，主要为荒废的菜地、水塘等。项目施工时挖方量很少，填方预计量为11800m</w:t>
            </w:r>
            <w:r>
              <w:rPr>
                <w:rFonts w:hint="eastAsia"/>
                <w:color w:val="auto"/>
                <w:sz w:val="24"/>
                <w:highlight w:val="none"/>
                <w:vertAlign w:val="superscript"/>
              </w:rPr>
              <w:t>3</w:t>
            </w:r>
            <w:r>
              <w:rPr>
                <w:rFonts w:hint="eastAsia"/>
                <w:color w:val="auto"/>
                <w:sz w:val="24"/>
                <w:highlight w:val="none"/>
              </w:rPr>
              <w:t>，拟从区域取土场取土。项目土地平整时，项目所需填方由湘潭市渣土办统筹调整调配解决。</w:t>
            </w:r>
          </w:p>
          <w:p>
            <w:pPr>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施工人员生活垃圾</w:t>
            </w:r>
          </w:p>
          <w:p>
            <w:pPr>
              <w:spacing w:line="360" w:lineRule="auto"/>
              <w:ind w:firstLine="480" w:firstLineChars="200"/>
              <w:rPr>
                <w:color w:val="auto"/>
                <w:sz w:val="24"/>
                <w:highlight w:val="none"/>
              </w:rPr>
            </w:pPr>
            <w:r>
              <w:rPr>
                <w:color w:val="auto"/>
                <w:sz w:val="24"/>
                <w:highlight w:val="none"/>
              </w:rPr>
              <w:t>项目施工人员生活垃圾产生量为</w:t>
            </w:r>
            <w:r>
              <w:rPr>
                <w:rFonts w:hint="eastAsia"/>
                <w:color w:val="auto"/>
                <w:sz w:val="24"/>
                <w:highlight w:val="none"/>
              </w:rPr>
              <w:t>50</w:t>
            </w:r>
            <w:r>
              <w:rPr>
                <w:color w:val="auto"/>
                <w:sz w:val="24"/>
                <w:highlight w:val="none"/>
              </w:rPr>
              <w:t>kg/d</w:t>
            </w:r>
            <w:r>
              <w:rPr>
                <w:rFonts w:hint="eastAsia"/>
                <w:color w:val="auto"/>
                <w:sz w:val="24"/>
                <w:highlight w:val="none"/>
              </w:rPr>
              <w:t>，集中收集后与当地生活垃圾一同处置。</w:t>
            </w:r>
          </w:p>
          <w:p>
            <w:pPr>
              <w:spacing w:line="360" w:lineRule="auto"/>
              <w:ind w:firstLine="480" w:firstLineChars="200"/>
              <w:rPr>
                <w:color w:val="auto"/>
                <w:sz w:val="24"/>
                <w:highlight w:val="none"/>
              </w:rPr>
            </w:pPr>
            <w:r>
              <w:rPr>
                <w:rFonts w:hint="eastAsia"/>
                <w:color w:val="auto"/>
                <w:sz w:val="24"/>
                <w:highlight w:val="none"/>
              </w:rPr>
              <w:t>采取上述措施后，项目施工期产生的固体废弃物可以得到合理处置，对周边环境影响可控。</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 xml:space="preserve">7.1.5 </w:t>
            </w:r>
            <w:r>
              <w:rPr>
                <w:b/>
                <w:color w:val="auto"/>
                <w:spacing w:val="4"/>
                <w:sz w:val="24"/>
                <w:szCs w:val="24"/>
                <w:highlight w:val="none"/>
              </w:rPr>
              <w:t>生态环境影响分析</w:t>
            </w:r>
          </w:p>
          <w:p>
            <w:pPr>
              <w:spacing w:line="360" w:lineRule="auto"/>
              <w:ind w:firstLine="480" w:firstLineChars="200"/>
              <w:rPr>
                <w:color w:val="auto"/>
                <w:sz w:val="24"/>
                <w:highlight w:val="none"/>
              </w:rPr>
            </w:pPr>
            <w:r>
              <w:rPr>
                <w:color w:val="auto"/>
                <w:sz w:val="24"/>
                <w:highlight w:val="none"/>
              </w:rPr>
              <w:t>项目施工期生态影响主要为水土流失影响，本项目水土流失主要体现在施工期间</w:t>
            </w:r>
            <w:r>
              <w:rPr>
                <w:rFonts w:hint="eastAsia"/>
                <w:color w:val="auto"/>
                <w:sz w:val="24"/>
                <w:highlight w:val="none"/>
              </w:rPr>
              <w:t>清表及土石方工程。</w:t>
            </w:r>
            <w:r>
              <w:rPr>
                <w:color w:val="auto"/>
                <w:sz w:val="24"/>
                <w:highlight w:val="none"/>
              </w:rPr>
              <w:t>在建设期间，由于工程建设扰动地表，并造成施工区地表裸露，使疏松土体直接受降雨及径流的综合作用发生水土流失，建议采取如下措施进行防治：</w:t>
            </w:r>
          </w:p>
          <w:p>
            <w:pPr>
              <w:spacing w:line="360" w:lineRule="auto"/>
              <w:ind w:firstLine="480" w:firstLineChars="200"/>
              <w:rPr>
                <w:color w:val="auto"/>
                <w:sz w:val="24"/>
                <w:highlight w:val="none"/>
              </w:rPr>
            </w:pPr>
            <w:r>
              <w:rPr>
                <w:rFonts w:hint="eastAsia"/>
                <w:color w:val="auto"/>
                <w:sz w:val="24"/>
                <w:highlight w:val="none"/>
              </w:rPr>
              <w:t>（1）</w:t>
            </w:r>
            <w:r>
              <w:rPr>
                <w:color w:val="auto"/>
                <w:sz w:val="24"/>
                <w:highlight w:val="none"/>
              </w:rPr>
              <w:t>施工期间，采取警示带围挡施工，余土等规范化堆放，不影响行车、行人。对不可避免产生的粉尘采取定时路面洒水，防止粉尘扩散，并及时清扫路面，保持路面卫生整洁。</w:t>
            </w:r>
          </w:p>
          <w:p>
            <w:pPr>
              <w:spacing w:line="360" w:lineRule="auto"/>
              <w:ind w:firstLine="480" w:firstLineChars="200"/>
              <w:rPr>
                <w:color w:val="auto"/>
                <w:sz w:val="24"/>
                <w:highlight w:val="none"/>
              </w:rPr>
            </w:pPr>
            <w:r>
              <w:rPr>
                <w:rFonts w:hint="eastAsia"/>
                <w:color w:val="auto"/>
                <w:sz w:val="24"/>
                <w:highlight w:val="none"/>
              </w:rPr>
              <w:t>（2）</w:t>
            </w:r>
            <w:r>
              <w:rPr>
                <w:color w:val="auto"/>
                <w:sz w:val="24"/>
                <w:highlight w:val="none"/>
              </w:rPr>
              <w:t>施工期间合理布置施工作业面，尽量减少开挖面，规范化施工。对施工时产生的废料等，采取集中拖运处理。</w:t>
            </w:r>
          </w:p>
          <w:p>
            <w:pPr>
              <w:spacing w:line="360" w:lineRule="auto"/>
              <w:ind w:firstLine="480" w:firstLineChars="200"/>
              <w:rPr>
                <w:color w:val="auto"/>
                <w:sz w:val="24"/>
                <w:highlight w:val="none"/>
              </w:rPr>
            </w:pPr>
            <w:r>
              <w:rPr>
                <w:rFonts w:hint="eastAsia"/>
                <w:color w:val="auto"/>
                <w:sz w:val="24"/>
                <w:highlight w:val="none"/>
              </w:rPr>
              <w:t>（3）</w:t>
            </w:r>
            <w:r>
              <w:rPr>
                <w:color w:val="auto"/>
                <w:sz w:val="24"/>
                <w:highlight w:val="none"/>
              </w:rPr>
              <w:t>对</w:t>
            </w:r>
            <w:r>
              <w:rPr>
                <w:rFonts w:hint="eastAsia"/>
                <w:color w:val="auto"/>
                <w:sz w:val="24"/>
                <w:highlight w:val="none"/>
              </w:rPr>
              <w:t>项目周边绿化区域</w:t>
            </w:r>
            <w:r>
              <w:rPr>
                <w:color w:val="auto"/>
                <w:sz w:val="24"/>
                <w:highlight w:val="none"/>
              </w:rPr>
              <w:t>尽量少破坏，对不可避免破坏的绿化进行全力修补，以保持好当地生态环境。</w:t>
            </w:r>
          </w:p>
          <w:p>
            <w:pPr>
              <w:spacing w:line="360" w:lineRule="auto"/>
              <w:ind w:firstLine="480" w:firstLineChars="200"/>
              <w:rPr>
                <w:color w:val="auto"/>
                <w:sz w:val="24"/>
                <w:highlight w:val="none"/>
              </w:rPr>
            </w:pPr>
            <w:r>
              <w:rPr>
                <w:rFonts w:hint="eastAsia"/>
                <w:color w:val="auto"/>
                <w:sz w:val="24"/>
                <w:highlight w:val="none"/>
              </w:rPr>
              <w:t>（4）</w:t>
            </w:r>
            <w:r>
              <w:rPr>
                <w:color w:val="auto"/>
                <w:sz w:val="24"/>
                <w:highlight w:val="none"/>
              </w:rPr>
              <w:t>合理进行施工布置，精心组织施工管理，严格将工程施工区控制在能接受的影响范围内。</w:t>
            </w:r>
          </w:p>
          <w:p>
            <w:pPr>
              <w:spacing w:line="360" w:lineRule="auto"/>
              <w:ind w:firstLine="480" w:firstLineChars="200"/>
              <w:rPr>
                <w:color w:val="auto"/>
                <w:sz w:val="24"/>
                <w:highlight w:val="none"/>
              </w:rPr>
            </w:pPr>
            <w:r>
              <w:rPr>
                <w:rFonts w:hint="eastAsia"/>
                <w:color w:val="auto"/>
                <w:sz w:val="24"/>
                <w:highlight w:val="none"/>
              </w:rPr>
              <w:t>（5）</w:t>
            </w:r>
            <w:r>
              <w:rPr>
                <w:color w:val="auto"/>
                <w:sz w:val="24"/>
                <w:highlight w:val="none"/>
              </w:rPr>
              <w:t>做好现场施工人员的宣传、教育、管理工作，严禁随意砍伐破坏施工区内外的植被。</w:t>
            </w:r>
          </w:p>
          <w:p>
            <w:pPr>
              <w:spacing w:afterLines="50" w:line="460" w:lineRule="exact"/>
              <w:jc w:val="left"/>
              <w:rPr>
                <w:rFonts w:ascii="宋体" w:hAnsi="宋体"/>
                <w:b/>
                <w:bCs/>
                <w:color w:val="auto"/>
                <w:spacing w:val="-8"/>
                <w:sz w:val="28"/>
                <w:szCs w:val="28"/>
                <w:highlight w:val="none"/>
              </w:rPr>
            </w:pPr>
            <w:r>
              <w:rPr>
                <w:rFonts w:ascii="宋体" w:hAnsi="宋体"/>
                <w:b/>
                <w:bCs/>
                <w:color w:val="auto"/>
                <w:spacing w:val="-8"/>
                <w:sz w:val="28"/>
                <w:szCs w:val="28"/>
                <w:highlight w:val="none"/>
              </w:rPr>
              <w:t>7.2 营运期环境影响分析</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7.2.1 废气</w:t>
            </w:r>
          </w:p>
          <w:p>
            <w:pPr>
              <w:spacing w:line="360" w:lineRule="auto"/>
              <w:ind w:firstLine="480" w:firstLineChars="200"/>
              <w:rPr>
                <w:color w:val="auto"/>
                <w:sz w:val="24"/>
                <w:highlight w:val="none"/>
              </w:rPr>
            </w:pPr>
            <w:r>
              <w:rPr>
                <w:rFonts w:hint="eastAsia"/>
                <w:color w:val="auto"/>
                <w:sz w:val="24"/>
                <w:highlight w:val="none"/>
              </w:rPr>
              <w:t>根据5.1节内容可知，项目废气主要包括热处理废气、清洗废气、注塑废气以及厨房油烟废气。</w:t>
            </w:r>
          </w:p>
          <w:p>
            <w:pPr>
              <w:spacing w:line="360" w:lineRule="auto"/>
              <w:ind w:firstLine="480" w:firstLineChars="200"/>
              <w:rPr>
                <w:color w:val="auto"/>
                <w:sz w:val="24"/>
                <w:highlight w:val="none"/>
              </w:rPr>
            </w:pPr>
            <w:r>
              <w:rPr>
                <w:rFonts w:hint="eastAsia"/>
                <w:color w:val="auto"/>
                <w:sz w:val="24"/>
                <w:highlight w:val="none"/>
              </w:rPr>
              <w:t>（1）热处理废气</w:t>
            </w:r>
          </w:p>
          <w:p>
            <w:pPr>
              <w:pStyle w:val="9"/>
              <w:spacing w:line="440" w:lineRule="exact"/>
              <w:ind w:firstLine="480"/>
              <w:jc w:val="left"/>
              <w:rPr>
                <w:rFonts w:ascii="Times New Roman" w:hAnsi="Times New Roman"/>
                <w:color w:val="auto"/>
                <w:sz w:val="24"/>
                <w:szCs w:val="24"/>
                <w:highlight w:val="none"/>
              </w:rPr>
            </w:pPr>
            <w:r>
              <w:rPr>
                <w:rFonts w:hint="eastAsia"/>
                <w:color w:val="auto"/>
                <w:sz w:val="24"/>
                <w:highlight w:val="none"/>
              </w:rPr>
              <w:t>本项目热处理废气包括高温加热炉废气、淬火废气。其中高温加热炉废气主要成分为碳氮共渗保护气及碳氮共渗副产物气体，包括甲醇、丙烷、氨气、氮气、一氧化碳、氢气、氰化氢等，该类废气通过废气管道设置的烧嘴燃烧处理后排放。淬火废气主要污染物为挥发的淬火油，经淬火油雾净化器处理后，与高温加热炉废气共用排气系统排放。高温加热炉废气经燃烧处理、淬火废气经油雾净化器处理后，排放的废气污染物以非甲烷总烃、氮氧化物计。项目</w:t>
            </w:r>
            <w:r>
              <w:rPr>
                <w:rFonts w:ascii="Times New Roman" w:hAnsi="Times New Roman"/>
                <w:color w:val="auto"/>
                <w:sz w:val="24"/>
                <w:szCs w:val="24"/>
                <w:highlight w:val="none"/>
              </w:rPr>
              <w:t>油雾净化器采用旋回式分离技术+机械式丝网除雾技术+等离子静电除尘技术相结合，双区板式静电电场（ESP）将油雾颗粒捕集于收尘区</w:t>
            </w:r>
            <w:r>
              <w:rPr>
                <w:rFonts w:hint="eastAsia" w:ascii="Times New Roman" w:hAnsi="Times New Roman"/>
                <w:color w:val="auto"/>
                <w:sz w:val="24"/>
                <w:szCs w:val="24"/>
                <w:highlight w:val="none"/>
              </w:rPr>
              <w:t>，油雾去除效率可达95%以上。</w:t>
            </w:r>
          </w:p>
          <w:p>
            <w:pPr>
              <w:spacing w:line="360" w:lineRule="auto"/>
              <w:ind w:firstLine="480" w:firstLineChars="200"/>
              <w:rPr>
                <w:color w:val="auto"/>
                <w:sz w:val="24"/>
                <w:highlight w:val="none"/>
              </w:rPr>
            </w:pPr>
            <w:r>
              <w:rPr>
                <w:rFonts w:hint="eastAsia"/>
                <w:color w:val="auto"/>
                <w:sz w:val="24"/>
                <w:highlight w:val="none"/>
              </w:rPr>
              <w:t>项目滚子摇臂、可变滚子摇臂、张紧器热处理废气经15m排气筒（2#）排放，轮毂轴承热处理废气经15m排气筒（3#）排放。类比同类工程舍弗勒（中国）有限公司太仓一厂、二厂、三厂热处理废气检测数据可知，项目2#排气筒废气中非甲烷总烃、氮氧化物排放速率分别为0.0061kg/h、0.0036kg/h，排放浓度分别为3.51mg/m</w:t>
            </w:r>
            <w:r>
              <w:rPr>
                <w:rFonts w:hint="eastAsia"/>
                <w:color w:val="auto"/>
                <w:sz w:val="24"/>
                <w:highlight w:val="none"/>
                <w:vertAlign w:val="superscript"/>
              </w:rPr>
              <w:t>3</w:t>
            </w:r>
            <w:r>
              <w:rPr>
                <w:rFonts w:hint="eastAsia"/>
                <w:color w:val="auto"/>
                <w:sz w:val="24"/>
                <w:highlight w:val="none"/>
              </w:rPr>
              <w:t>，氮氧化物11.538mg/m</w:t>
            </w:r>
            <w:r>
              <w:rPr>
                <w:rFonts w:hint="eastAsia"/>
                <w:color w:val="auto"/>
                <w:sz w:val="24"/>
                <w:highlight w:val="none"/>
                <w:vertAlign w:val="superscript"/>
              </w:rPr>
              <w:t>3</w:t>
            </w:r>
            <w:r>
              <w:rPr>
                <w:rFonts w:hint="eastAsia"/>
                <w:color w:val="auto"/>
                <w:sz w:val="24"/>
                <w:highlight w:val="none"/>
              </w:rPr>
              <w:t>。3#排气筒废气中非甲烷总烃、氮氧化物排放速率分别为0.00039kg/h、0.0023kg/h，排放浓度分别为3.51mg/m</w:t>
            </w:r>
            <w:r>
              <w:rPr>
                <w:rFonts w:hint="eastAsia"/>
                <w:color w:val="auto"/>
                <w:sz w:val="24"/>
                <w:highlight w:val="none"/>
                <w:vertAlign w:val="superscript"/>
              </w:rPr>
              <w:t>3</w:t>
            </w:r>
            <w:r>
              <w:rPr>
                <w:rFonts w:hint="eastAsia"/>
                <w:color w:val="auto"/>
                <w:sz w:val="24"/>
                <w:highlight w:val="none"/>
              </w:rPr>
              <w:t>，氮氧化物11.538mg/m</w:t>
            </w:r>
            <w:r>
              <w:rPr>
                <w:rFonts w:hint="eastAsia"/>
                <w:color w:val="auto"/>
                <w:sz w:val="24"/>
                <w:highlight w:val="none"/>
                <w:vertAlign w:val="superscript"/>
              </w:rPr>
              <w:t>3</w:t>
            </w:r>
            <w:r>
              <w:rPr>
                <w:rFonts w:hint="eastAsia"/>
                <w:color w:val="auto"/>
                <w:sz w:val="24"/>
                <w:highlight w:val="none"/>
              </w:rPr>
              <w:t>，满足《大气污染物综合排放标准》（GB16297-1996）表2二级标准要求（15m排气筒：非甲烷总烃、氮氧化物排放速率标准限值分别为10kg/h、0.77kg/h，排放浓度标准限值分别为120mg/m</w:t>
            </w:r>
            <w:r>
              <w:rPr>
                <w:rFonts w:hint="eastAsia"/>
                <w:color w:val="auto"/>
                <w:sz w:val="24"/>
                <w:highlight w:val="none"/>
                <w:vertAlign w:val="superscript"/>
              </w:rPr>
              <w:t>3</w:t>
            </w:r>
            <w:r>
              <w:rPr>
                <w:rFonts w:hint="eastAsia"/>
                <w:color w:val="auto"/>
                <w:sz w:val="24"/>
                <w:highlight w:val="none"/>
              </w:rPr>
              <w:t>，氮氧化物240mg/m</w:t>
            </w:r>
            <w:r>
              <w:rPr>
                <w:rFonts w:hint="eastAsia"/>
                <w:color w:val="auto"/>
                <w:sz w:val="24"/>
                <w:highlight w:val="none"/>
                <w:vertAlign w:val="superscript"/>
              </w:rPr>
              <w:t>3</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（2）清洗废气</w:t>
            </w:r>
          </w:p>
          <w:p>
            <w:pPr>
              <w:spacing w:line="360" w:lineRule="auto"/>
              <w:ind w:firstLine="480" w:firstLineChars="200"/>
              <w:rPr>
                <w:color w:val="auto"/>
                <w:sz w:val="24"/>
                <w:highlight w:val="none"/>
              </w:rPr>
            </w:pPr>
            <w:r>
              <w:rPr>
                <w:rFonts w:hint="eastAsia"/>
                <w:color w:val="auto"/>
                <w:sz w:val="24"/>
                <w:highlight w:val="none"/>
              </w:rPr>
              <w:t>根据本报告5.1.2内容可知，本项目滚子摇臂、可变滚子摇臂、轮毂轴承、张紧器清洗废气经15m排气筒（1#）排放。排放的清洗废气中主要污染物为HNO</w:t>
            </w:r>
            <w:r>
              <w:rPr>
                <w:rFonts w:hint="eastAsia"/>
                <w:color w:val="auto"/>
                <w:sz w:val="24"/>
                <w:highlight w:val="none"/>
                <w:vertAlign w:val="subscript"/>
              </w:rPr>
              <w:t>3</w:t>
            </w:r>
            <w:r>
              <w:rPr>
                <w:rFonts w:hint="eastAsia"/>
                <w:color w:val="auto"/>
                <w:sz w:val="24"/>
                <w:highlight w:val="none"/>
              </w:rPr>
              <w:t>酸雾、挥发性有机化合物。考虑到HNO</w:t>
            </w:r>
            <w:r>
              <w:rPr>
                <w:rFonts w:hint="eastAsia"/>
                <w:color w:val="auto"/>
                <w:sz w:val="24"/>
                <w:highlight w:val="none"/>
                <w:vertAlign w:val="subscript"/>
              </w:rPr>
              <w:t>3</w:t>
            </w:r>
            <w:r>
              <w:rPr>
                <w:rFonts w:hint="eastAsia"/>
                <w:color w:val="auto"/>
                <w:sz w:val="24"/>
                <w:highlight w:val="none"/>
              </w:rPr>
              <w:t>酸雾目前国内无相应的评价标准，本报告仅对清洗废气中的挥发性有机化合物进行定量分析。</w:t>
            </w:r>
          </w:p>
          <w:p>
            <w:pPr>
              <w:spacing w:line="360" w:lineRule="auto"/>
              <w:ind w:firstLine="480" w:firstLineChars="200"/>
              <w:rPr>
                <w:color w:val="auto"/>
                <w:sz w:val="24"/>
                <w:highlight w:val="none"/>
              </w:rPr>
            </w:pPr>
            <w:r>
              <w:rPr>
                <w:rFonts w:hint="eastAsia"/>
                <w:color w:val="auto"/>
                <w:sz w:val="24"/>
                <w:highlight w:val="none"/>
              </w:rPr>
              <w:t>类比同类工程舍弗勒（中国）有限公司太仓一厂、二厂清洗废气检测数据可知，项目排放清洗废气中挥发性有机化合物浓度为0.0975mg/m</w:t>
            </w:r>
            <w:r>
              <w:rPr>
                <w:rFonts w:hint="eastAsia"/>
                <w:color w:val="auto"/>
                <w:sz w:val="24"/>
                <w:highlight w:val="none"/>
                <w:vertAlign w:val="superscript"/>
              </w:rPr>
              <w:t>3</w:t>
            </w:r>
            <w:r>
              <w:rPr>
                <w:rFonts w:hint="eastAsia"/>
                <w:color w:val="auto"/>
                <w:sz w:val="24"/>
                <w:highlight w:val="none"/>
              </w:rPr>
              <w:t>，排放速率为3.1×10</w:t>
            </w:r>
            <w:r>
              <w:rPr>
                <w:rFonts w:hint="eastAsia"/>
                <w:color w:val="auto"/>
                <w:sz w:val="24"/>
                <w:highlight w:val="none"/>
                <w:vertAlign w:val="superscript"/>
              </w:rPr>
              <w:t>-5</w:t>
            </w:r>
            <w:r>
              <w:rPr>
                <w:rFonts w:hint="eastAsia"/>
                <w:color w:val="auto"/>
                <w:sz w:val="24"/>
                <w:highlight w:val="none"/>
              </w:rPr>
              <w:t>kg/h，满足《工业企业挥发性有机物排放控制标准》（DB12/524-2014）表2标准要求（汽车制造与维修清洗工序：15m排气筒挥发性有机化合物排放速率标准限值为1.5kg/h，排放浓度标准限值为50mg/m</w:t>
            </w:r>
            <w:r>
              <w:rPr>
                <w:rFonts w:hint="eastAsia"/>
                <w:color w:val="auto"/>
                <w:sz w:val="24"/>
                <w:highlight w:val="none"/>
                <w:vertAlign w:val="superscript"/>
              </w:rPr>
              <w:t>3</w:t>
            </w:r>
            <w:r>
              <w:rPr>
                <w:rFonts w:hint="eastAsia"/>
                <w:color w:val="auto"/>
                <w:sz w:val="24"/>
                <w:highlight w:val="none"/>
              </w:rPr>
              <w:t>）。</w:t>
            </w:r>
          </w:p>
          <w:p>
            <w:pPr>
              <w:spacing w:line="360" w:lineRule="auto"/>
              <w:ind w:firstLine="480" w:firstLineChars="200"/>
              <w:rPr>
                <w:color w:val="auto"/>
                <w:sz w:val="24"/>
                <w:highlight w:val="none"/>
              </w:rPr>
            </w:pPr>
            <w:r>
              <w:rPr>
                <w:rFonts w:hint="eastAsia"/>
                <w:color w:val="auto"/>
                <w:sz w:val="24"/>
                <w:highlight w:val="none"/>
              </w:rPr>
              <w:t>（3）注塑废气</w:t>
            </w:r>
          </w:p>
          <w:p>
            <w:pPr>
              <w:spacing w:line="360" w:lineRule="auto"/>
              <w:ind w:firstLine="504" w:firstLineChars="200"/>
              <w:rPr>
                <w:color w:val="auto"/>
                <w:spacing w:val="6"/>
                <w:sz w:val="24"/>
                <w:highlight w:val="none"/>
              </w:rPr>
            </w:pPr>
            <w:r>
              <w:rPr>
                <w:rFonts w:hint="eastAsia"/>
                <w:color w:val="auto"/>
                <w:spacing w:val="6"/>
                <w:sz w:val="24"/>
                <w:highlight w:val="none"/>
              </w:rPr>
              <w:t>根据本报告</w:t>
            </w:r>
            <w:r>
              <w:rPr>
                <w:rFonts w:hint="eastAsia"/>
                <w:color w:val="auto"/>
                <w:sz w:val="24"/>
                <w:highlight w:val="none"/>
              </w:rPr>
              <w:t>5.1.2内容可知，张紧器、热管理模块注塑工序有注塑废气产生，主要污染物为挥发性有机化合物，排放速率为</w:t>
            </w:r>
            <w:r>
              <w:rPr>
                <w:rFonts w:hint="eastAsia"/>
                <w:color w:val="auto"/>
                <w:spacing w:val="6"/>
                <w:sz w:val="24"/>
                <w:highlight w:val="none"/>
              </w:rPr>
              <w:t>0.087kg/h。</w:t>
            </w:r>
          </w:p>
          <w:p>
            <w:pPr>
              <w:spacing w:line="360" w:lineRule="auto"/>
              <w:ind w:firstLine="480" w:firstLineChars="200"/>
              <w:rPr>
                <w:color w:val="auto"/>
                <w:sz w:val="24"/>
                <w:highlight w:val="none"/>
              </w:rPr>
            </w:pPr>
            <w:r>
              <w:rPr>
                <w:rFonts w:hint="eastAsia"/>
                <w:color w:val="auto"/>
                <w:sz w:val="24"/>
                <w:highlight w:val="none"/>
              </w:rPr>
              <w:t>本项目注塑废气以生产车间为无组织排放面源，采用大气估算模式，预测拟建项目实施后无组织排放源对厂界无组织监控点VOCs贡献值，拟建工程无组织排放源详见下表7-3，厂界无组织排放监控点预测结果见表7-4。</w:t>
            </w:r>
          </w:p>
          <w:p>
            <w:pPr>
              <w:snapToGrid w:val="0"/>
              <w:spacing w:line="360" w:lineRule="auto"/>
              <w:jc w:val="center"/>
              <w:rPr>
                <w:b/>
                <w:color w:val="auto"/>
                <w:sz w:val="24"/>
                <w:highlight w:val="none"/>
              </w:rPr>
            </w:pPr>
            <w:r>
              <w:rPr>
                <w:rFonts w:hint="eastAsia"/>
                <w:b/>
                <w:color w:val="auto"/>
                <w:sz w:val="24"/>
                <w:highlight w:val="none"/>
              </w:rPr>
              <w:t>表7-3  项目无组织排放源情况一览表</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2268"/>
              <w:gridCol w:w="1843"/>
              <w:gridCol w:w="1701"/>
              <w:gridCol w:w="1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8" w:type="dxa"/>
                  <w:vAlign w:val="center"/>
                </w:tcPr>
                <w:p>
                  <w:pPr>
                    <w:adjustRightInd w:val="0"/>
                    <w:snapToGrid w:val="0"/>
                    <w:jc w:val="center"/>
                    <w:rPr>
                      <w:color w:val="auto"/>
                      <w:kern w:val="0"/>
                      <w:szCs w:val="21"/>
                      <w:highlight w:val="none"/>
                    </w:rPr>
                  </w:pPr>
                  <w:r>
                    <w:rPr>
                      <w:rFonts w:hint="eastAsia"/>
                      <w:color w:val="auto"/>
                      <w:kern w:val="0"/>
                      <w:szCs w:val="21"/>
                      <w:highlight w:val="none"/>
                    </w:rPr>
                    <w:t>无组织排放源</w:t>
                  </w:r>
                </w:p>
              </w:tc>
              <w:tc>
                <w:tcPr>
                  <w:tcW w:w="2268" w:type="dxa"/>
                  <w:vAlign w:val="center"/>
                </w:tcPr>
                <w:p>
                  <w:pPr>
                    <w:adjustRightInd w:val="0"/>
                    <w:snapToGrid w:val="0"/>
                    <w:jc w:val="center"/>
                    <w:rPr>
                      <w:color w:val="auto"/>
                      <w:kern w:val="0"/>
                      <w:szCs w:val="21"/>
                      <w:highlight w:val="none"/>
                    </w:rPr>
                  </w:pPr>
                  <w:r>
                    <w:rPr>
                      <w:rFonts w:hint="eastAsia"/>
                      <w:color w:val="auto"/>
                      <w:kern w:val="0"/>
                      <w:szCs w:val="21"/>
                      <w:highlight w:val="none"/>
                    </w:rPr>
                    <w:t>VOCs排放速率（kg/h）</w:t>
                  </w:r>
                </w:p>
              </w:tc>
              <w:tc>
                <w:tcPr>
                  <w:tcW w:w="1843" w:type="dxa"/>
                  <w:vAlign w:val="center"/>
                </w:tcPr>
                <w:p>
                  <w:pPr>
                    <w:adjustRightInd w:val="0"/>
                    <w:snapToGrid w:val="0"/>
                    <w:jc w:val="center"/>
                    <w:rPr>
                      <w:color w:val="auto"/>
                      <w:kern w:val="0"/>
                      <w:szCs w:val="21"/>
                      <w:highlight w:val="none"/>
                    </w:rPr>
                  </w:pPr>
                  <w:r>
                    <w:rPr>
                      <w:rFonts w:hint="eastAsia"/>
                      <w:color w:val="auto"/>
                      <w:kern w:val="0"/>
                      <w:szCs w:val="21"/>
                      <w:highlight w:val="none"/>
                    </w:rPr>
                    <w:t>面源长度（m）</w:t>
                  </w:r>
                </w:p>
              </w:tc>
              <w:tc>
                <w:tcPr>
                  <w:tcW w:w="1701" w:type="dxa"/>
                  <w:vAlign w:val="center"/>
                </w:tcPr>
                <w:p>
                  <w:pPr>
                    <w:adjustRightInd w:val="0"/>
                    <w:snapToGrid w:val="0"/>
                    <w:jc w:val="center"/>
                    <w:rPr>
                      <w:color w:val="auto"/>
                      <w:kern w:val="0"/>
                      <w:szCs w:val="21"/>
                      <w:highlight w:val="none"/>
                    </w:rPr>
                  </w:pPr>
                  <w:r>
                    <w:rPr>
                      <w:rFonts w:hint="eastAsia"/>
                      <w:color w:val="auto"/>
                      <w:kern w:val="0"/>
                      <w:szCs w:val="21"/>
                      <w:highlight w:val="none"/>
                    </w:rPr>
                    <w:t>面源宽度（m）</w:t>
                  </w:r>
                </w:p>
              </w:tc>
              <w:tc>
                <w:tcPr>
                  <w:tcW w:w="1741" w:type="dxa"/>
                  <w:vAlign w:val="center"/>
                </w:tcPr>
                <w:p>
                  <w:pPr>
                    <w:adjustRightInd w:val="0"/>
                    <w:snapToGrid w:val="0"/>
                    <w:jc w:val="center"/>
                    <w:rPr>
                      <w:color w:val="auto"/>
                      <w:kern w:val="0"/>
                      <w:szCs w:val="21"/>
                      <w:highlight w:val="none"/>
                    </w:rPr>
                  </w:pPr>
                  <w:r>
                    <w:rPr>
                      <w:rFonts w:hint="eastAsia"/>
                      <w:color w:val="auto"/>
                      <w:kern w:val="0"/>
                      <w:szCs w:val="21"/>
                      <w:highlight w:val="none"/>
                    </w:rPr>
                    <w:t>面源高度（m）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28" w:type="dxa"/>
                  <w:vAlign w:val="center"/>
                </w:tcPr>
                <w:p>
                  <w:pPr>
                    <w:adjustRightInd w:val="0"/>
                    <w:snapToGrid w:val="0"/>
                    <w:jc w:val="center"/>
                    <w:rPr>
                      <w:color w:val="auto"/>
                      <w:kern w:val="0"/>
                      <w:szCs w:val="21"/>
                      <w:highlight w:val="none"/>
                    </w:rPr>
                  </w:pPr>
                  <w:r>
                    <w:rPr>
                      <w:rFonts w:hint="eastAsia"/>
                      <w:color w:val="auto"/>
                      <w:kern w:val="0"/>
                      <w:szCs w:val="21"/>
                      <w:highlight w:val="none"/>
                    </w:rPr>
                    <w:t>生产车间</w:t>
                  </w:r>
                </w:p>
              </w:tc>
              <w:tc>
                <w:tcPr>
                  <w:tcW w:w="2268" w:type="dxa"/>
                  <w:vAlign w:val="center"/>
                </w:tcPr>
                <w:p>
                  <w:pPr>
                    <w:adjustRightInd w:val="0"/>
                    <w:snapToGrid w:val="0"/>
                    <w:jc w:val="center"/>
                    <w:rPr>
                      <w:color w:val="auto"/>
                      <w:kern w:val="0"/>
                      <w:szCs w:val="21"/>
                      <w:highlight w:val="none"/>
                    </w:rPr>
                  </w:pPr>
                  <w:r>
                    <w:rPr>
                      <w:rFonts w:hint="eastAsia"/>
                      <w:color w:val="auto"/>
                      <w:kern w:val="0"/>
                      <w:szCs w:val="21"/>
                      <w:highlight w:val="none"/>
                    </w:rPr>
                    <w:t>0.087</w:t>
                  </w:r>
                </w:p>
              </w:tc>
              <w:tc>
                <w:tcPr>
                  <w:tcW w:w="1843" w:type="dxa"/>
                  <w:vAlign w:val="center"/>
                </w:tcPr>
                <w:p>
                  <w:pPr>
                    <w:adjustRightInd w:val="0"/>
                    <w:snapToGrid w:val="0"/>
                    <w:jc w:val="center"/>
                    <w:rPr>
                      <w:color w:val="auto"/>
                      <w:kern w:val="0"/>
                      <w:szCs w:val="21"/>
                      <w:highlight w:val="none"/>
                    </w:rPr>
                  </w:pPr>
                  <w:r>
                    <w:rPr>
                      <w:rFonts w:hint="eastAsia"/>
                      <w:color w:val="auto"/>
                      <w:kern w:val="0"/>
                      <w:szCs w:val="21"/>
                      <w:highlight w:val="none"/>
                    </w:rPr>
                    <w:t>265</w:t>
                  </w:r>
                </w:p>
              </w:tc>
              <w:tc>
                <w:tcPr>
                  <w:tcW w:w="1701" w:type="dxa"/>
                  <w:vAlign w:val="center"/>
                </w:tcPr>
                <w:p>
                  <w:pPr>
                    <w:adjustRightInd w:val="0"/>
                    <w:snapToGrid w:val="0"/>
                    <w:jc w:val="center"/>
                    <w:rPr>
                      <w:color w:val="auto"/>
                      <w:kern w:val="0"/>
                      <w:szCs w:val="21"/>
                      <w:highlight w:val="none"/>
                    </w:rPr>
                  </w:pPr>
                  <w:r>
                    <w:rPr>
                      <w:rFonts w:hint="eastAsia"/>
                      <w:color w:val="auto"/>
                      <w:kern w:val="0"/>
                      <w:szCs w:val="21"/>
                      <w:highlight w:val="none"/>
                    </w:rPr>
                    <w:t>96</w:t>
                  </w:r>
                </w:p>
              </w:tc>
              <w:tc>
                <w:tcPr>
                  <w:tcW w:w="1741" w:type="dxa"/>
                  <w:vAlign w:val="center"/>
                </w:tcPr>
                <w:p>
                  <w:pPr>
                    <w:adjustRightInd w:val="0"/>
                    <w:snapToGrid w:val="0"/>
                    <w:jc w:val="center"/>
                    <w:rPr>
                      <w:color w:val="auto"/>
                      <w:kern w:val="0"/>
                      <w:szCs w:val="21"/>
                      <w:highlight w:val="none"/>
                    </w:rPr>
                  </w:pPr>
                  <w:r>
                    <w:rPr>
                      <w:rFonts w:hint="eastAsia"/>
                      <w:color w:val="auto"/>
                      <w:kern w:val="0"/>
                      <w:szCs w:val="21"/>
                      <w:highlight w:val="none"/>
                    </w:rPr>
                    <w:t>11.5</w:t>
                  </w:r>
                </w:p>
              </w:tc>
            </w:tr>
          </w:tbl>
          <w:p>
            <w:pPr>
              <w:spacing w:line="360" w:lineRule="auto"/>
              <w:ind w:firstLine="480" w:firstLineChars="200"/>
              <w:rPr>
                <w:color w:val="auto"/>
                <w:sz w:val="24"/>
                <w:highlight w:val="none"/>
              </w:rPr>
            </w:pPr>
          </w:p>
          <w:p>
            <w:pPr>
              <w:snapToGrid w:val="0"/>
              <w:spacing w:line="360" w:lineRule="auto"/>
              <w:jc w:val="center"/>
              <w:rPr>
                <w:b/>
                <w:color w:val="auto"/>
                <w:sz w:val="24"/>
                <w:highlight w:val="none"/>
              </w:rPr>
            </w:pPr>
            <w:r>
              <w:rPr>
                <w:rFonts w:hint="eastAsia"/>
                <w:b/>
                <w:color w:val="auto"/>
                <w:sz w:val="24"/>
                <w:highlight w:val="none"/>
              </w:rPr>
              <w:t>表7-4  厂界无组织排放监控点浓度预测一览表（单位：mg/m</w:t>
            </w:r>
            <w:r>
              <w:rPr>
                <w:rFonts w:hint="eastAsia"/>
                <w:b/>
                <w:color w:val="auto"/>
                <w:sz w:val="24"/>
                <w:highlight w:val="none"/>
                <w:vertAlign w:val="superscript"/>
              </w:rPr>
              <w:t>3</w:t>
            </w:r>
            <w:r>
              <w:rPr>
                <w:rFonts w:hint="eastAsia"/>
                <w:b/>
                <w:color w:val="auto"/>
                <w:sz w:val="24"/>
                <w:highlight w:val="none"/>
              </w:rPr>
              <w:t>）</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0"/>
              <w:gridCol w:w="2126"/>
              <w:gridCol w:w="1843"/>
              <w:gridCol w:w="1701"/>
              <w:gridCol w:w="17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70" w:type="dxa"/>
                  <w:vAlign w:val="center"/>
                </w:tcPr>
                <w:p>
                  <w:pPr>
                    <w:adjustRightInd w:val="0"/>
                    <w:snapToGrid w:val="0"/>
                    <w:jc w:val="center"/>
                    <w:rPr>
                      <w:color w:val="auto"/>
                      <w:kern w:val="0"/>
                      <w:szCs w:val="21"/>
                      <w:highlight w:val="none"/>
                    </w:rPr>
                  </w:pPr>
                  <w:r>
                    <w:rPr>
                      <w:rFonts w:hint="eastAsia"/>
                      <w:color w:val="auto"/>
                      <w:kern w:val="0"/>
                      <w:szCs w:val="21"/>
                      <w:highlight w:val="none"/>
                    </w:rPr>
                    <w:t>污染物</w:t>
                  </w:r>
                </w:p>
              </w:tc>
              <w:tc>
                <w:tcPr>
                  <w:tcW w:w="2126" w:type="dxa"/>
                  <w:vAlign w:val="center"/>
                </w:tcPr>
                <w:p>
                  <w:pPr>
                    <w:adjustRightInd w:val="0"/>
                    <w:snapToGrid w:val="0"/>
                    <w:jc w:val="center"/>
                    <w:rPr>
                      <w:color w:val="auto"/>
                      <w:kern w:val="0"/>
                      <w:szCs w:val="21"/>
                      <w:highlight w:val="none"/>
                    </w:rPr>
                  </w:pPr>
                  <w:r>
                    <w:rPr>
                      <w:rFonts w:hint="eastAsia"/>
                      <w:color w:val="auto"/>
                      <w:kern w:val="0"/>
                      <w:szCs w:val="21"/>
                      <w:highlight w:val="none"/>
                    </w:rPr>
                    <w:t>东厂界</w:t>
                  </w:r>
                </w:p>
              </w:tc>
              <w:tc>
                <w:tcPr>
                  <w:tcW w:w="1843" w:type="dxa"/>
                  <w:vAlign w:val="center"/>
                </w:tcPr>
                <w:p>
                  <w:pPr>
                    <w:adjustRightInd w:val="0"/>
                    <w:snapToGrid w:val="0"/>
                    <w:jc w:val="center"/>
                    <w:rPr>
                      <w:color w:val="auto"/>
                      <w:kern w:val="0"/>
                      <w:szCs w:val="21"/>
                      <w:highlight w:val="none"/>
                    </w:rPr>
                  </w:pPr>
                  <w:r>
                    <w:rPr>
                      <w:rFonts w:hint="eastAsia"/>
                      <w:color w:val="auto"/>
                      <w:kern w:val="0"/>
                      <w:szCs w:val="21"/>
                      <w:highlight w:val="none"/>
                    </w:rPr>
                    <w:t>南厂界</w:t>
                  </w:r>
                </w:p>
              </w:tc>
              <w:tc>
                <w:tcPr>
                  <w:tcW w:w="1701" w:type="dxa"/>
                  <w:vAlign w:val="center"/>
                </w:tcPr>
                <w:p>
                  <w:pPr>
                    <w:adjustRightInd w:val="0"/>
                    <w:snapToGrid w:val="0"/>
                    <w:jc w:val="center"/>
                    <w:rPr>
                      <w:color w:val="auto"/>
                      <w:kern w:val="0"/>
                      <w:szCs w:val="21"/>
                      <w:highlight w:val="none"/>
                    </w:rPr>
                  </w:pPr>
                  <w:r>
                    <w:rPr>
                      <w:rFonts w:hint="eastAsia"/>
                      <w:color w:val="auto"/>
                      <w:kern w:val="0"/>
                      <w:szCs w:val="21"/>
                      <w:highlight w:val="none"/>
                    </w:rPr>
                    <w:t>西厂界</w:t>
                  </w:r>
                </w:p>
              </w:tc>
              <w:tc>
                <w:tcPr>
                  <w:tcW w:w="1741" w:type="dxa"/>
                  <w:vAlign w:val="center"/>
                </w:tcPr>
                <w:p>
                  <w:pPr>
                    <w:adjustRightInd w:val="0"/>
                    <w:snapToGrid w:val="0"/>
                    <w:jc w:val="center"/>
                    <w:rPr>
                      <w:color w:val="auto"/>
                      <w:kern w:val="0"/>
                      <w:szCs w:val="21"/>
                      <w:highlight w:val="none"/>
                    </w:rPr>
                  </w:pPr>
                  <w:r>
                    <w:rPr>
                      <w:rFonts w:hint="eastAsia"/>
                      <w:color w:val="auto"/>
                      <w:kern w:val="0"/>
                      <w:szCs w:val="21"/>
                      <w:highlight w:val="none"/>
                    </w:rPr>
                    <w:t>北场界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70" w:type="dxa"/>
                  <w:vAlign w:val="center"/>
                </w:tcPr>
                <w:p>
                  <w:pPr>
                    <w:adjustRightInd w:val="0"/>
                    <w:snapToGrid w:val="0"/>
                    <w:jc w:val="center"/>
                    <w:rPr>
                      <w:color w:val="auto"/>
                      <w:kern w:val="0"/>
                      <w:szCs w:val="21"/>
                      <w:highlight w:val="none"/>
                    </w:rPr>
                  </w:pPr>
                  <w:r>
                    <w:rPr>
                      <w:rFonts w:hint="eastAsia"/>
                      <w:color w:val="auto"/>
                      <w:kern w:val="0"/>
                      <w:szCs w:val="21"/>
                      <w:highlight w:val="none"/>
                    </w:rPr>
                    <w:t>VOCs浓度（mg/m</w:t>
                  </w:r>
                  <w:r>
                    <w:rPr>
                      <w:rFonts w:hint="eastAsia"/>
                      <w:color w:val="auto"/>
                      <w:kern w:val="0"/>
                      <w:szCs w:val="21"/>
                      <w:highlight w:val="none"/>
                      <w:vertAlign w:val="superscript"/>
                    </w:rPr>
                    <w:t>3</w:t>
                  </w:r>
                  <w:r>
                    <w:rPr>
                      <w:rFonts w:hint="eastAsia"/>
                      <w:color w:val="auto"/>
                      <w:kern w:val="0"/>
                      <w:szCs w:val="21"/>
                      <w:highlight w:val="none"/>
                    </w:rPr>
                    <w:t>）</w:t>
                  </w:r>
                </w:p>
              </w:tc>
              <w:tc>
                <w:tcPr>
                  <w:tcW w:w="2126" w:type="dxa"/>
                  <w:vAlign w:val="center"/>
                </w:tcPr>
                <w:p>
                  <w:pPr>
                    <w:adjustRightInd w:val="0"/>
                    <w:snapToGrid w:val="0"/>
                    <w:jc w:val="center"/>
                    <w:rPr>
                      <w:color w:val="auto"/>
                      <w:kern w:val="0"/>
                      <w:szCs w:val="21"/>
                      <w:highlight w:val="none"/>
                    </w:rPr>
                  </w:pPr>
                  <w:r>
                    <w:rPr>
                      <w:rFonts w:hint="eastAsia"/>
                      <w:color w:val="auto"/>
                      <w:kern w:val="0"/>
                      <w:szCs w:val="21"/>
                      <w:highlight w:val="none"/>
                    </w:rPr>
                    <w:t>0.00707</w:t>
                  </w:r>
                </w:p>
              </w:tc>
              <w:tc>
                <w:tcPr>
                  <w:tcW w:w="1843" w:type="dxa"/>
                  <w:vAlign w:val="center"/>
                </w:tcPr>
                <w:p>
                  <w:pPr>
                    <w:adjustRightInd w:val="0"/>
                    <w:snapToGrid w:val="0"/>
                    <w:jc w:val="center"/>
                    <w:rPr>
                      <w:color w:val="auto"/>
                      <w:kern w:val="0"/>
                      <w:szCs w:val="21"/>
                      <w:highlight w:val="none"/>
                    </w:rPr>
                  </w:pPr>
                  <w:r>
                    <w:rPr>
                      <w:rFonts w:hint="eastAsia"/>
                      <w:color w:val="auto"/>
                      <w:kern w:val="0"/>
                      <w:szCs w:val="21"/>
                      <w:highlight w:val="none"/>
                    </w:rPr>
                    <w:t>0.005818</w:t>
                  </w:r>
                </w:p>
              </w:tc>
              <w:tc>
                <w:tcPr>
                  <w:tcW w:w="1701" w:type="dxa"/>
                  <w:vAlign w:val="center"/>
                </w:tcPr>
                <w:p>
                  <w:pPr>
                    <w:adjustRightInd w:val="0"/>
                    <w:snapToGrid w:val="0"/>
                    <w:jc w:val="center"/>
                    <w:rPr>
                      <w:color w:val="auto"/>
                      <w:kern w:val="0"/>
                      <w:szCs w:val="21"/>
                      <w:highlight w:val="none"/>
                    </w:rPr>
                  </w:pPr>
                  <w:r>
                    <w:rPr>
                      <w:rFonts w:hint="eastAsia"/>
                      <w:color w:val="auto"/>
                      <w:kern w:val="0"/>
                      <w:szCs w:val="21"/>
                      <w:highlight w:val="none"/>
                    </w:rPr>
                    <w:t>0.003561</w:t>
                  </w:r>
                </w:p>
              </w:tc>
              <w:tc>
                <w:tcPr>
                  <w:tcW w:w="1741" w:type="dxa"/>
                  <w:vAlign w:val="center"/>
                </w:tcPr>
                <w:p>
                  <w:pPr>
                    <w:adjustRightInd w:val="0"/>
                    <w:snapToGrid w:val="0"/>
                    <w:jc w:val="center"/>
                    <w:rPr>
                      <w:color w:val="auto"/>
                      <w:kern w:val="0"/>
                      <w:szCs w:val="21"/>
                      <w:highlight w:val="none"/>
                    </w:rPr>
                  </w:pPr>
                  <w:r>
                    <w:rPr>
                      <w:rFonts w:hint="eastAsia"/>
                      <w:color w:val="auto"/>
                      <w:kern w:val="0"/>
                      <w:szCs w:val="21"/>
                      <w:highlight w:val="none"/>
                    </w:rPr>
                    <w:t>0.005003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70" w:type="dxa"/>
                  <w:vAlign w:val="center"/>
                </w:tcPr>
                <w:p>
                  <w:pPr>
                    <w:adjustRightInd w:val="0"/>
                    <w:snapToGrid w:val="0"/>
                    <w:jc w:val="center"/>
                    <w:rPr>
                      <w:color w:val="auto"/>
                      <w:kern w:val="0"/>
                      <w:szCs w:val="21"/>
                      <w:highlight w:val="none"/>
                    </w:rPr>
                  </w:pPr>
                  <w:r>
                    <w:rPr>
                      <w:rFonts w:hint="eastAsia"/>
                      <w:color w:val="auto"/>
                      <w:kern w:val="0"/>
                      <w:szCs w:val="21"/>
                      <w:highlight w:val="none"/>
                    </w:rPr>
                    <w:t>VOCs占标率（%）</w:t>
                  </w:r>
                </w:p>
              </w:tc>
              <w:tc>
                <w:tcPr>
                  <w:tcW w:w="2126" w:type="dxa"/>
                  <w:vAlign w:val="center"/>
                </w:tcPr>
                <w:p>
                  <w:pPr>
                    <w:adjustRightInd w:val="0"/>
                    <w:snapToGrid w:val="0"/>
                    <w:jc w:val="center"/>
                    <w:rPr>
                      <w:color w:val="auto"/>
                      <w:kern w:val="0"/>
                      <w:szCs w:val="21"/>
                      <w:highlight w:val="none"/>
                    </w:rPr>
                  </w:pPr>
                  <w:r>
                    <w:rPr>
                      <w:rFonts w:hint="eastAsia"/>
                      <w:color w:val="auto"/>
                      <w:kern w:val="0"/>
                      <w:szCs w:val="21"/>
                      <w:highlight w:val="none"/>
                    </w:rPr>
                    <w:t>0.3535</w:t>
                  </w:r>
                </w:p>
              </w:tc>
              <w:tc>
                <w:tcPr>
                  <w:tcW w:w="1843" w:type="dxa"/>
                  <w:vAlign w:val="center"/>
                </w:tcPr>
                <w:p>
                  <w:pPr>
                    <w:adjustRightInd w:val="0"/>
                    <w:snapToGrid w:val="0"/>
                    <w:jc w:val="center"/>
                    <w:rPr>
                      <w:color w:val="auto"/>
                      <w:kern w:val="0"/>
                      <w:szCs w:val="21"/>
                      <w:highlight w:val="none"/>
                    </w:rPr>
                  </w:pPr>
                  <w:r>
                    <w:rPr>
                      <w:rFonts w:hint="eastAsia"/>
                      <w:color w:val="auto"/>
                      <w:kern w:val="0"/>
                      <w:szCs w:val="21"/>
                      <w:highlight w:val="none"/>
                    </w:rPr>
                    <w:t>0.2909</w:t>
                  </w:r>
                </w:p>
              </w:tc>
              <w:tc>
                <w:tcPr>
                  <w:tcW w:w="1701" w:type="dxa"/>
                  <w:vAlign w:val="center"/>
                </w:tcPr>
                <w:p>
                  <w:pPr>
                    <w:adjustRightInd w:val="0"/>
                    <w:snapToGrid w:val="0"/>
                    <w:jc w:val="center"/>
                    <w:rPr>
                      <w:color w:val="auto"/>
                      <w:kern w:val="0"/>
                      <w:szCs w:val="21"/>
                      <w:highlight w:val="none"/>
                    </w:rPr>
                  </w:pPr>
                  <w:r>
                    <w:rPr>
                      <w:rFonts w:hint="eastAsia"/>
                      <w:color w:val="auto"/>
                      <w:kern w:val="0"/>
                      <w:szCs w:val="21"/>
                      <w:highlight w:val="none"/>
                    </w:rPr>
                    <w:t>0.1781</w:t>
                  </w:r>
                </w:p>
              </w:tc>
              <w:tc>
                <w:tcPr>
                  <w:tcW w:w="1741" w:type="dxa"/>
                  <w:vAlign w:val="center"/>
                </w:tcPr>
                <w:p>
                  <w:pPr>
                    <w:adjustRightInd w:val="0"/>
                    <w:snapToGrid w:val="0"/>
                    <w:jc w:val="center"/>
                    <w:rPr>
                      <w:color w:val="auto"/>
                      <w:kern w:val="0"/>
                      <w:szCs w:val="21"/>
                      <w:highlight w:val="none"/>
                    </w:rPr>
                  </w:pPr>
                  <w:r>
                    <w:rPr>
                      <w:rFonts w:hint="eastAsia"/>
                      <w:color w:val="auto"/>
                      <w:kern w:val="0"/>
                      <w:szCs w:val="21"/>
                      <w:highlight w:val="none"/>
                    </w:rPr>
                    <w:t>0.2502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70" w:type="dxa"/>
                  <w:vAlign w:val="center"/>
                </w:tcPr>
                <w:p>
                  <w:pPr>
                    <w:adjustRightInd w:val="0"/>
                    <w:snapToGrid w:val="0"/>
                    <w:jc w:val="center"/>
                    <w:rPr>
                      <w:color w:val="auto"/>
                      <w:kern w:val="0"/>
                      <w:szCs w:val="21"/>
                      <w:highlight w:val="none"/>
                    </w:rPr>
                  </w:pPr>
                  <w:r>
                    <w:rPr>
                      <w:rFonts w:hint="eastAsia"/>
                      <w:color w:val="auto"/>
                      <w:kern w:val="0"/>
                      <w:szCs w:val="21"/>
                      <w:highlight w:val="none"/>
                    </w:rPr>
                    <w:t>参考标准</w:t>
                  </w:r>
                </w:p>
              </w:tc>
              <w:tc>
                <w:tcPr>
                  <w:tcW w:w="7411" w:type="dxa"/>
                  <w:gridSpan w:val="4"/>
                  <w:vAlign w:val="center"/>
                </w:tcPr>
                <w:p>
                  <w:pPr>
                    <w:adjustRightInd w:val="0"/>
                    <w:snapToGrid w:val="0"/>
                    <w:jc w:val="left"/>
                    <w:rPr>
                      <w:color w:val="auto"/>
                      <w:kern w:val="0"/>
                      <w:szCs w:val="21"/>
                      <w:highlight w:val="none"/>
                    </w:rPr>
                  </w:pPr>
                  <w:r>
                    <w:rPr>
                      <w:rFonts w:hint="eastAsia"/>
                      <w:color w:val="auto"/>
                      <w:kern w:val="0"/>
                      <w:szCs w:val="21"/>
                      <w:highlight w:val="none"/>
                    </w:rPr>
                    <w:t>《工业企业挥发性有机物排放控制标准》（DB12/524-2014）表5  其他行业厂界监控点浓度限值：2.0mg/m</w:t>
                  </w:r>
                  <w:r>
                    <w:rPr>
                      <w:rFonts w:hint="eastAsia"/>
                      <w:color w:val="auto"/>
                      <w:kern w:val="0"/>
                      <w:szCs w:val="21"/>
                      <w:highlight w:val="none"/>
                      <w:vertAlign w:val="superscript"/>
                    </w:rPr>
                    <w:t>3</w:t>
                  </w:r>
                </w:p>
              </w:tc>
            </w:tr>
          </w:tbl>
          <w:p>
            <w:pPr>
              <w:spacing w:line="360" w:lineRule="auto"/>
              <w:ind w:firstLine="480" w:firstLineChars="200"/>
              <w:rPr>
                <w:color w:val="auto"/>
                <w:sz w:val="24"/>
                <w:highlight w:val="none"/>
              </w:rPr>
            </w:pPr>
            <w:r>
              <w:rPr>
                <w:rFonts w:hint="eastAsia"/>
                <w:color w:val="auto"/>
                <w:sz w:val="24"/>
                <w:highlight w:val="none"/>
              </w:rPr>
              <w:t>由上表预测结果可知，拟建项目实施后生产车间VOCs无组织排放对各厂界无组织排放监控点贡献值很小，其最大贡献值为0.00707mg/m</w:t>
            </w:r>
            <w:r>
              <w:rPr>
                <w:rFonts w:hint="eastAsia"/>
                <w:color w:val="auto"/>
                <w:sz w:val="24"/>
                <w:highlight w:val="none"/>
                <w:vertAlign w:val="superscript"/>
              </w:rPr>
              <w:t>3</w:t>
            </w:r>
            <w:r>
              <w:rPr>
                <w:rFonts w:hint="eastAsia"/>
                <w:color w:val="auto"/>
                <w:sz w:val="24"/>
                <w:highlight w:val="none"/>
              </w:rPr>
              <w:t>，满足《工业企业挥发性有机物排放控制标准》（DB12/524-2014）表5  其他行业厂界监控点浓度限值：2.0mg/m</w:t>
            </w:r>
            <w:r>
              <w:rPr>
                <w:rFonts w:hint="eastAsia"/>
                <w:color w:val="auto"/>
                <w:sz w:val="24"/>
                <w:highlight w:val="none"/>
                <w:vertAlign w:val="superscript"/>
              </w:rPr>
              <w:t>3</w:t>
            </w:r>
            <w:r>
              <w:rPr>
                <w:rFonts w:hint="eastAsia"/>
                <w:color w:val="auto"/>
                <w:sz w:val="24"/>
                <w:highlight w:val="none"/>
              </w:rPr>
              <w:t>要求。</w:t>
            </w:r>
          </w:p>
          <w:p>
            <w:pPr>
              <w:spacing w:line="360" w:lineRule="auto"/>
              <w:ind w:firstLine="480" w:firstLineChars="200"/>
              <w:rPr>
                <w:color w:val="auto"/>
                <w:sz w:val="24"/>
                <w:highlight w:val="none"/>
              </w:rPr>
            </w:pPr>
            <w:r>
              <w:rPr>
                <w:rFonts w:hint="eastAsia"/>
                <w:color w:val="auto"/>
                <w:sz w:val="24"/>
                <w:highlight w:val="none"/>
              </w:rPr>
              <w:t>①大气环境防护距离</w:t>
            </w:r>
          </w:p>
          <w:p>
            <w:pPr>
              <w:spacing w:line="360" w:lineRule="auto"/>
              <w:ind w:firstLine="480" w:firstLineChars="200"/>
              <w:rPr>
                <w:color w:val="auto"/>
                <w:sz w:val="24"/>
                <w:szCs w:val="28"/>
                <w:highlight w:val="none"/>
              </w:rPr>
            </w:pPr>
            <w:r>
              <w:rPr>
                <w:rFonts w:hint="eastAsia"/>
                <w:color w:val="auto"/>
                <w:sz w:val="24"/>
                <w:szCs w:val="28"/>
                <w:highlight w:val="none"/>
              </w:rPr>
              <w:t>大气环境防护距离是指产生有害因素的部门（车间或工段）在正常生产状况下，由无组织排放源散发的有害物质对工厂周围居民健康不造成危害的最小距离，该距离是以污染源中心点为起点的控制距离。</w:t>
            </w:r>
          </w:p>
          <w:p>
            <w:pPr>
              <w:spacing w:line="360" w:lineRule="auto"/>
              <w:ind w:firstLine="480" w:firstLineChars="200"/>
              <w:rPr>
                <w:color w:val="auto"/>
                <w:sz w:val="24"/>
                <w:szCs w:val="28"/>
                <w:highlight w:val="none"/>
              </w:rPr>
            </w:pPr>
            <w:r>
              <w:rPr>
                <w:rFonts w:hint="eastAsia"/>
                <w:color w:val="auto"/>
                <w:sz w:val="24"/>
                <w:szCs w:val="28"/>
                <w:highlight w:val="none"/>
              </w:rPr>
              <w:t>项目无组织排放的</w:t>
            </w:r>
            <w:r>
              <w:rPr>
                <w:rFonts w:hint="eastAsia"/>
                <w:color w:val="auto"/>
                <w:sz w:val="24"/>
                <w:highlight w:val="none"/>
              </w:rPr>
              <w:t>VOCs</w:t>
            </w:r>
            <w:r>
              <w:rPr>
                <w:color w:val="auto"/>
                <w:sz w:val="24"/>
                <w:szCs w:val="28"/>
                <w:highlight w:val="none"/>
              </w:rPr>
              <w:t>采用环保部环境质量模拟重点实验室发布的</w:t>
            </w:r>
            <w:r>
              <w:rPr>
                <w:rFonts w:hint="eastAsia"/>
                <w:color w:val="auto"/>
                <w:sz w:val="24"/>
                <w:szCs w:val="28"/>
                <w:highlight w:val="none"/>
              </w:rPr>
              <w:t>“</w:t>
            </w:r>
            <w:r>
              <w:rPr>
                <w:color w:val="auto"/>
                <w:sz w:val="24"/>
                <w:szCs w:val="28"/>
                <w:highlight w:val="none"/>
              </w:rPr>
              <w:t>大气环境防护距离标准计算程序Ver1.1</w:t>
            </w:r>
            <w:r>
              <w:rPr>
                <w:rFonts w:hint="eastAsia"/>
                <w:color w:val="auto"/>
                <w:sz w:val="24"/>
                <w:szCs w:val="28"/>
                <w:highlight w:val="none"/>
              </w:rPr>
              <w:t>”</w:t>
            </w:r>
            <w:r>
              <w:rPr>
                <w:color w:val="auto"/>
                <w:sz w:val="24"/>
                <w:szCs w:val="28"/>
                <w:highlight w:val="none"/>
              </w:rPr>
              <w:t>计算</w:t>
            </w:r>
            <w:r>
              <w:rPr>
                <w:rFonts w:hint="eastAsia"/>
                <w:color w:val="auto"/>
                <w:sz w:val="24"/>
                <w:szCs w:val="28"/>
                <w:highlight w:val="none"/>
              </w:rPr>
              <w:t>大气防护距离</w:t>
            </w:r>
            <w:r>
              <w:rPr>
                <w:color w:val="auto"/>
                <w:sz w:val="24"/>
                <w:szCs w:val="28"/>
                <w:highlight w:val="none"/>
              </w:rPr>
              <w:t>，计算结果见</w:t>
            </w:r>
            <w:r>
              <w:rPr>
                <w:rFonts w:hint="eastAsia"/>
                <w:color w:val="auto"/>
                <w:sz w:val="24"/>
                <w:szCs w:val="28"/>
                <w:highlight w:val="none"/>
              </w:rPr>
              <w:t>图7-1</w:t>
            </w:r>
            <w:r>
              <w:rPr>
                <w:color w:val="auto"/>
                <w:sz w:val="24"/>
                <w:szCs w:val="28"/>
                <w:highlight w:val="none"/>
              </w:rPr>
              <w:t>。</w:t>
            </w:r>
            <w:r>
              <w:rPr>
                <w:rFonts w:hint="eastAsia"/>
                <w:color w:val="auto"/>
                <w:sz w:val="24"/>
                <w:szCs w:val="28"/>
                <w:highlight w:val="none"/>
              </w:rPr>
              <w:t>从图中可以看出，项目无需设置大气环境防护距离。</w:t>
            </w:r>
          </w:p>
          <w:p>
            <w:pPr>
              <w:widowControl/>
              <w:jc w:val="center"/>
              <w:rPr>
                <w:rFonts w:ascii="宋体" w:hAnsi="宋体" w:cs="宋体"/>
                <w:color w:val="auto"/>
                <w:kern w:val="0"/>
                <w:sz w:val="24"/>
                <w:highlight w:val="none"/>
              </w:rPr>
            </w:pPr>
            <w:r>
              <w:rPr>
                <w:rFonts w:ascii="宋体" w:hAnsi="宋体" w:cs="宋体"/>
                <w:color w:val="auto"/>
                <w:kern w:val="0"/>
                <w:sz w:val="24"/>
                <w:highlight w:val="none"/>
              </w:rPr>
              <w:drawing>
                <wp:inline distT="0" distB="0" distL="0" distR="0">
                  <wp:extent cx="5398770" cy="3124835"/>
                  <wp:effectExtent l="19050" t="19050" r="11430" b="18415"/>
                  <wp:docPr id="15" name="图片 15" descr="C:\Users\Administrator\Documents\Tencent Files\714334974\Image\C2C\Y0K8}`{{32]{T9CZ[V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ocuments\Tencent Files\714334974\Image\C2C\Y0K8}`{{32]{T9CZ[V_]`73.png"/>
                          <pic:cNvPicPr>
                            <a:picLocks noChangeAspect="1" noChangeArrowheads="1"/>
                          </pic:cNvPicPr>
                        </pic:nvPicPr>
                        <pic:blipFill>
                          <a:blip r:embed="rId56"/>
                          <a:srcRect/>
                          <a:stretch>
                            <a:fillRect/>
                          </a:stretch>
                        </pic:blipFill>
                        <pic:spPr>
                          <a:xfrm>
                            <a:off x="0" y="0"/>
                            <a:ext cx="5398770" cy="3124835"/>
                          </a:xfrm>
                          <a:prstGeom prst="rect">
                            <a:avLst/>
                          </a:prstGeom>
                          <a:noFill/>
                          <a:ln w="19050">
                            <a:solidFill>
                              <a:schemeClr val="tx1"/>
                            </a:solidFill>
                            <a:miter lim="800000"/>
                            <a:headEnd/>
                            <a:tailEnd/>
                          </a:ln>
                        </pic:spPr>
                      </pic:pic>
                    </a:graphicData>
                  </a:graphic>
                </wp:inline>
              </w:drawing>
            </w:r>
          </w:p>
          <w:p>
            <w:pPr>
              <w:snapToGrid w:val="0"/>
              <w:spacing w:afterLines="50" w:line="360" w:lineRule="auto"/>
              <w:jc w:val="center"/>
              <w:rPr>
                <w:b/>
                <w:color w:val="auto"/>
                <w:sz w:val="24"/>
                <w:highlight w:val="none"/>
              </w:rPr>
            </w:pPr>
            <w:r>
              <w:rPr>
                <w:rFonts w:hint="eastAsia"/>
                <w:b/>
                <w:color w:val="auto"/>
                <w:sz w:val="24"/>
                <w:highlight w:val="none"/>
              </w:rPr>
              <w:t>图7-1  项目无组织排放的VOCs大气环境防护距离计算情况图</w:t>
            </w:r>
          </w:p>
          <w:p>
            <w:pPr>
              <w:spacing w:line="360" w:lineRule="auto"/>
              <w:ind w:firstLine="480" w:firstLineChars="200"/>
              <w:rPr>
                <w:color w:val="auto"/>
                <w:sz w:val="24"/>
                <w:highlight w:val="none"/>
              </w:rPr>
            </w:pPr>
            <w:r>
              <w:rPr>
                <w:rFonts w:hint="eastAsia"/>
                <w:color w:val="auto"/>
                <w:sz w:val="24"/>
                <w:highlight w:val="none"/>
              </w:rPr>
              <w:t>②卫生防护距离</w:t>
            </w:r>
          </w:p>
          <w:p>
            <w:pPr>
              <w:spacing w:line="360" w:lineRule="auto"/>
              <w:ind w:firstLine="480" w:firstLineChars="200"/>
              <w:rPr>
                <w:color w:val="auto"/>
                <w:sz w:val="24"/>
                <w:highlight w:val="none"/>
              </w:rPr>
            </w:pPr>
            <w:r>
              <w:rPr>
                <w:rFonts w:hint="eastAsia"/>
                <w:color w:val="auto"/>
                <w:sz w:val="24"/>
                <w:highlight w:val="none"/>
              </w:rPr>
              <w:t>卫生防护距离是指产生有害因素的部门（车间或工段）的边界至居住区边界的最小距离。采用卫生防护距离计算模式计算本项目的卫生防护距离，结果见下图7-2。</w:t>
            </w:r>
          </w:p>
          <w:p>
            <w:pPr>
              <w:widowControl/>
              <w:jc w:val="center"/>
              <w:rPr>
                <w:rFonts w:ascii="宋体" w:hAnsi="宋体" w:cs="宋体"/>
                <w:color w:val="auto"/>
                <w:kern w:val="0"/>
                <w:sz w:val="24"/>
                <w:highlight w:val="none"/>
              </w:rPr>
            </w:pPr>
            <w:r>
              <w:rPr>
                <w:rFonts w:ascii="宋体" w:hAnsi="宋体" w:cs="宋体"/>
                <w:color w:val="auto"/>
                <w:kern w:val="0"/>
                <w:sz w:val="24"/>
                <w:highlight w:val="none"/>
              </w:rPr>
              <w:drawing>
                <wp:inline distT="0" distB="0" distL="0" distR="0">
                  <wp:extent cx="5307965" cy="3606800"/>
                  <wp:effectExtent l="19050" t="19050" r="25676" b="12174"/>
                  <wp:docPr id="17" name="图片 17" descr="C:\Users\Administrator\Documents\Tencent Files\714334974\Image\C2C\[5V~G$MZUFEQVCGT)VJ~`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ocuments\Tencent Files\714334974\Image\C2C\[5V~G$MZUFEQVCGT)VJ~`EI.jpg"/>
                          <pic:cNvPicPr>
                            <a:picLocks noChangeAspect="1" noChangeArrowheads="1"/>
                          </pic:cNvPicPr>
                        </pic:nvPicPr>
                        <pic:blipFill>
                          <a:blip r:embed="rId57"/>
                          <a:srcRect/>
                          <a:stretch>
                            <a:fillRect/>
                          </a:stretch>
                        </pic:blipFill>
                        <pic:spPr>
                          <a:xfrm>
                            <a:off x="0" y="0"/>
                            <a:ext cx="5308087" cy="3607165"/>
                          </a:xfrm>
                          <a:prstGeom prst="rect">
                            <a:avLst/>
                          </a:prstGeom>
                          <a:noFill/>
                          <a:ln w="19050">
                            <a:solidFill>
                              <a:schemeClr val="tx1"/>
                            </a:solidFill>
                            <a:miter lim="800000"/>
                            <a:headEnd/>
                            <a:tailEnd/>
                          </a:ln>
                        </pic:spPr>
                      </pic:pic>
                    </a:graphicData>
                  </a:graphic>
                </wp:inline>
              </w:drawing>
            </w:r>
          </w:p>
          <w:p>
            <w:pPr>
              <w:snapToGrid w:val="0"/>
              <w:spacing w:afterLines="50" w:line="360" w:lineRule="auto"/>
              <w:jc w:val="center"/>
              <w:rPr>
                <w:b/>
                <w:color w:val="auto"/>
                <w:sz w:val="24"/>
                <w:highlight w:val="none"/>
              </w:rPr>
            </w:pPr>
            <w:r>
              <w:rPr>
                <w:rFonts w:hint="eastAsia"/>
                <w:b/>
                <w:color w:val="auto"/>
                <w:sz w:val="24"/>
                <w:highlight w:val="none"/>
              </w:rPr>
              <w:t>图7-2  项目无组织排放的VOCs卫生防护距离计算情况图</w:t>
            </w:r>
          </w:p>
          <w:p>
            <w:pPr>
              <w:spacing w:line="360" w:lineRule="auto"/>
              <w:ind w:firstLine="480" w:firstLineChars="200"/>
              <w:rPr>
                <w:color w:val="auto"/>
                <w:sz w:val="24"/>
                <w:highlight w:val="none"/>
              </w:rPr>
            </w:pPr>
            <w:r>
              <w:rPr>
                <w:rFonts w:hint="eastAsia"/>
                <w:color w:val="auto"/>
                <w:sz w:val="24"/>
                <w:highlight w:val="none"/>
              </w:rPr>
              <w:t>经计算，本项目卫生防护距离为生产车间往外延伸50m的范围。根据现场踏勘以及建设方提供的资料可知，本项目卫生防护距离内均为舍弗勒（湘潭）有限公司汽车零部件建设项目整体工程用地范围，防护距离内无现有建筑，不涉及环保拆迁。</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7.2.2 废水</w:t>
            </w:r>
          </w:p>
          <w:p>
            <w:pPr>
              <w:spacing w:line="360" w:lineRule="auto"/>
              <w:ind w:firstLine="480" w:firstLineChars="200"/>
              <w:rPr>
                <w:color w:val="auto"/>
                <w:sz w:val="24"/>
                <w:highlight w:val="none"/>
              </w:rPr>
            </w:pPr>
            <w:r>
              <w:rPr>
                <w:rFonts w:hint="eastAsia"/>
                <w:color w:val="auto"/>
                <w:sz w:val="24"/>
                <w:highlight w:val="none"/>
              </w:rPr>
              <w:t>本项目废水主要为抛光、喷砂废水，生产车间拖地废水，生活废水。</w:t>
            </w:r>
          </w:p>
          <w:p>
            <w:pPr>
              <w:spacing w:line="360" w:lineRule="auto"/>
              <w:ind w:firstLine="480" w:firstLineChars="200"/>
              <w:rPr>
                <w:bCs/>
                <w:color w:val="auto"/>
                <w:sz w:val="24"/>
                <w:highlight w:val="none"/>
              </w:rPr>
            </w:pPr>
            <w:r>
              <w:rPr>
                <w:rFonts w:hint="eastAsia"/>
                <w:bCs/>
                <w:color w:val="auto"/>
                <w:sz w:val="24"/>
                <w:highlight w:val="none"/>
              </w:rPr>
              <w:t>项目抛光喷砂废水（0.18m</w:t>
            </w:r>
            <w:r>
              <w:rPr>
                <w:rFonts w:hint="eastAsia"/>
                <w:bCs/>
                <w:color w:val="auto"/>
                <w:sz w:val="24"/>
                <w:highlight w:val="none"/>
                <w:vertAlign w:val="superscript"/>
              </w:rPr>
              <w:t>3</w:t>
            </w:r>
            <w:r>
              <w:rPr>
                <w:rFonts w:hint="eastAsia"/>
                <w:bCs/>
                <w:color w:val="auto"/>
                <w:sz w:val="24"/>
                <w:highlight w:val="none"/>
              </w:rPr>
              <w:t>/d）、车间拖地废水（1.9m</w:t>
            </w:r>
            <w:r>
              <w:rPr>
                <w:rFonts w:hint="eastAsia"/>
                <w:bCs/>
                <w:color w:val="auto"/>
                <w:sz w:val="24"/>
                <w:highlight w:val="none"/>
                <w:vertAlign w:val="superscript"/>
              </w:rPr>
              <w:t>3</w:t>
            </w:r>
            <w:r>
              <w:rPr>
                <w:rFonts w:hint="eastAsia"/>
                <w:bCs/>
                <w:color w:val="auto"/>
                <w:sz w:val="24"/>
                <w:highlight w:val="none"/>
              </w:rPr>
              <w:t>/d）、员工生活废水中的食堂含油污水（约占生活废水总量的20%，为15.2m</w:t>
            </w:r>
            <w:r>
              <w:rPr>
                <w:rFonts w:hint="eastAsia"/>
                <w:bCs/>
                <w:color w:val="auto"/>
                <w:sz w:val="24"/>
                <w:highlight w:val="none"/>
                <w:vertAlign w:val="superscript"/>
              </w:rPr>
              <w:t>3</w:t>
            </w:r>
            <w:r>
              <w:rPr>
                <w:rFonts w:hint="eastAsia"/>
                <w:bCs/>
                <w:color w:val="auto"/>
                <w:sz w:val="24"/>
                <w:highlight w:val="none"/>
              </w:rPr>
              <w:t>/d）经隔油池处理后，与其他生活废水（45.6m</w:t>
            </w:r>
            <w:r>
              <w:rPr>
                <w:rFonts w:hint="eastAsia"/>
                <w:bCs/>
                <w:color w:val="auto"/>
                <w:sz w:val="24"/>
                <w:highlight w:val="none"/>
                <w:vertAlign w:val="superscript"/>
              </w:rPr>
              <w:t>3</w:t>
            </w:r>
            <w:r>
              <w:rPr>
                <w:rFonts w:hint="eastAsia"/>
                <w:bCs/>
                <w:color w:val="auto"/>
                <w:sz w:val="24"/>
                <w:highlight w:val="none"/>
              </w:rPr>
              <w:t>/d）进入化粪池处理，然后排入湘潭市九华污水处理厂处理达到《城镇污水处理厂污染物排放标准》（</w:t>
            </w:r>
            <w:r>
              <w:rPr>
                <w:bCs/>
                <w:color w:val="auto"/>
                <w:sz w:val="24"/>
                <w:highlight w:val="none"/>
              </w:rPr>
              <w:t>GB18918-2002</w:t>
            </w:r>
            <w:r>
              <w:rPr>
                <w:rFonts w:hint="eastAsia"/>
                <w:bCs/>
                <w:color w:val="auto"/>
                <w:sz w:val="24"/>
                <w:highlight w:val="none"/>
              </w:rPr>
              <w:t>）规定的一级</w:t>
            </w:r>
            <w:r>
              <w:rPr>
                <w:bCs/>
                <w:color w:val="auto"/>
                <w:sz w:val="24"/>
                <w:highlight w:val="none"/>
              </w:rPr>
              <w:t>A</w:t>
            </w:r>
            <w:r>
              <w:rPr>
                <w:rFonts w:hint="eastAsia"/>
                <w:bCs/>
                <w:color w:val="auto"/>
                <w:sz w:val="24"/>
                <w:highlight w:val="none"/>
              </w:rPr>
              <w:t>标准后最终汇入湘江。</w:t>
            </w:r>
          </w:p>
          <w:p>
            <w:pPr>
              <w:spacing w:line="360" w:lineRule="auto"/>
              <w:ind w:firstLine="480" w:firstLineChars="200"/>
              <w:rPr>
                <w:color w:val="auto"/>
                <w:sz w:val="24"/>
                <w:highlight w:val="none"/>
              </w:rPr>
            </w:pPr>
            <w:r>
              <w:rPr>
                <w:rFonts w:hint="eastAsia"/>
                <w:color w:val="auto"/>
                <w:sz w:val="24"/>
                <w:highlight w:val="none"/>
              </w:rPr>
              <w:t>图7-3为项目废水排水示意图。</w:t>
            </w:r>
          </w:p>
          <w:p>
            <w:pPr>
              <w:spacing w:line="360" w:lineRule="auto"/>
              <w:ind w:firstLine="480" w:firstLineChars="200"/>
              <w:rPr>
                <w:bCs/>
                <w:color w:val="auto"/>
                <w:sz w:val="24"/>
                <w:highlight w:val="none"/>
              </w:rPr>
            </w:pPr>
          </w:p>
          <w:p>
            <w:pPr>
              <w:spacing w:line="360" w:lineRule="auto"/>
              <w:rPr>
                <w:color w:val="auto"/>
                <w:sz w:val="24"/>
                <w:highlight w:val="none"/>
              </w:rPr>
            </w:pPr>
            <w:r>
              <w:rPr>
                <w:color w:val="auto"/>
                <w:highlight w:val="none"/>
              </w:rPr>
              <w:object>
                <v:shape id="_x0000_i1036" o:spt="75" type="#_x0000_t75" style="height:184.5pt;width:447pt;" o:ole="t" filled="f" o:preferrelative="t" stroked="f" coordsize="21600,21600">
                  <v:path/>
                  <v:fill on="f" focussize="0,0"/>
                  <v:stroke on="f" joinstyle="miter"/>
                  <v:imagedata r:id="rId59" o:title=""/>
                  <o:lock v:ext="edit" aspectratio="t"/>
                  <w10:wrap type="none"/>
                  <w10:anchorlock/>
                </v:shape>
                <o:OLEObject Type="Embed" ProgID="Visio.Drawing.11" ShapeID="_x0000_i1036" DrawAspect="Content" ObjectID="_1468075736" r:id="rId58">
                  <o:LockedField>false</o:LockedField>
                </o:OLEObject>
              </w:object>
            </w:r>
          </w:p>
          <w:p>
            <w:pPr>
              <w:snapToGrid w:val="0"/>
              <w:spacing w:afterLines="50" w:line="360" w:lineRule="auto"/>
              <w:jc w:val="center"/>
              <w:rPr>
                <w:b/>
                <w:color w:val="auto"/>
                <w:sz w:val="24"/>
                <w:highlight w:val="none"/>
              </w:rPr>
            </w:pPr>
            <w:r>
              <w:rPr>
                <w:rFonts w:hint="eastAsia"/>
                <w:b/>
                <w:color w:val="auto"/>
                <w:sz w:val="24"/>
                <w:highlight w:val="none"/>
              </w:rPr>
              <w:t>图7-3  项目废水排放去向示意图</w:t>
            </w:r>
          </w:p>
          <w:p>
            <w:pPr>
              <w:spacing w:line="360" w:lineRule="auto"/>
              <w:ind w:firstLine="480" w:firstLineChars="200"/>
              <w:rPr>
                <w:bCs/>
                <w:color w:val="auto"/>
                <w:sz w:val="24"/>
                <w:highlight w:val="none"/>
              </w:rPr>
            </w:pPr>
            <w:r>
              <w:rPr>
                <w:bCs/>
                <w:color w:val="auto"/>
                <w:sz w:val="24"/>
                <w:highlight w:val="none"/>
              </w:rPr>
              <w:t>项目废水排入</w:t>
            </w:r>
            <w:r>
              <w:rPr>
                <w:rFonts w:hint="eastAsia"/>
                <w:bCs/>
                <w:color w:val="auto"/>
                <w:sz w:val="24"/>
                <w:highlight w:val="none"/>
              </w:rPr>
              <w:t>九华污水</w:t>
            </w:r>
            <w:r>
              <w:rPr>
                <w:rFonts w:hint="eastAsia"/>
                <w:color w:val="auto"/>
                <w:sz w:val="24"/>
                <w:highlight w:val="none"/>
              </w:rPr>
              <w:t>处理厂处理</w:t>
            </w:r>
            <w:r>
              <w:rPr>
                <w:bCs/>
                <w:color w:val="auto"/>
                <w:sz w:val="24"/>
                <w:highlight w:val="none"/>
              </w:rPr>
              <w:t>处理可行性分析如下：</w:t>
            </w:r>
          </w:p>
          <w:p>
            <w:pPr>
              <w:spacing w:line="360" w:lineRule="auto"/>
              <w:ind w:firstLine="480" w:firstLineChars="200"/>
              <w:rPr>
                <w:bCs/>
                <w:color w:val="auto"/>
                <w:sz w:val="24"/>
                <w:highlight w:val="none"/>
              </w:rPr>
            </w:pPr>
            <w:r>
              <w:rPr>
                <w:bCs/>
                <w:color w:val="auto"/>
                <w:sz w:val="24"/>
                <w:highlight w:val="none"/>
              </w:rPr>
              <w:t>（1）纳污范围分析</w:t>
            </w:r>
          </w:p>
          <w:p>
            <w:pPr>
              <w:spacing w:line="360" w:lineRule="auto"/>
              <w:ind w:firstLine="480" w:firstLineChars="200"/>
              <w:rPr>
                <w:color w:val="auto"/>
                <w:sz w:val="24"/>
                <w:highlight w:val="none"/>
              </w:rPr>
            </w:pPr>
            <w:r>
              <w:rPr>
                <w:rFonts w:hint="eastAsia"/>
                <w:color w:val="auto"/>
                <w:sz w:val="24"/>
                <w:highlight w:val="none"/>
              </w:rPr>
              <w:t>根据规划，湘潭市</w:t>
            </w:r>
            <w:r>
              <w:rPr>
                <w:color w:val="auto"/>
                <w:sz w:val="24"/>
                <w:highlight w:val="none"/>
              </w:rPr>
              <w:t>九华污水处理厂处理吉利路以北、江南大道以东的污水</w:t>
            </w:r>
            <w:r>
              <w:rPr>
                <w:rFonts w:hint="eastAsia"/>
                <w:color w:val="auto"/>
                <w:sz w:val="24"/>
                <w:highlight w:val="none"/>
              </w:rPr>
              <w:t>。本项目选址湘潭经济技术开发区湘望路以西，江南大道以东，白石西路以北（吉利路以北），属于九华污水处理厂的服务范围。</w:t>
            </w:r>
          </w:p>
          <w:p>
            <w:pPr>
              <w:spacing w:line="360" w:lineRule="auto"/>
              <w:ind w:firstLine="480" w:firstLineChars="200"/>
              <w:rPr>
                <w:color w:val="auto"/>
                <w:sz w:val="24"/>
                <w:highlight w:val="none"/>
              </w:rPr>
            </w:pPr>
            <w:r>
              <w:rPr>
                <w:rFonts w:hint="eastAsia"/>
                <w:color w:val="auto"/>
                <w:sz w:val="24"/>
                <w:highlight w:val="none"/>
              </w:rPr>
              <w:t>（2）项目废水水质分析</w:t>
            </w:r>
          </w:p>
          <w:p>
            <w:pPr>
              <w:spacing w:line="360" w:lineRule="auto"/>
              <w:ind w:firstLine="480" w:firstLineChars="200"/>
              <w:rPr>
                <w:bCs/>
                <w:color w:val="auto"/>
                <w:sz w:val="24"/>
                <w:highlight w:val="none"/>
              </w:rPr>
            </w:pPr>
            <w:r>
              <w:rPr>
                <w:bCs/>
                <w:color w:val="auto"/>
                <w:sz w:val="24"/>
                <w:highlight w:val="none"/>
              </w:rPr>
              <w:t>结合表2-1及表5-</w:t>
            </w:r>
            <w:r>
              <w:rPr>
                <w:rFonts w:hint="eastAsia"/>
                <w:bCs/>
                <w:color w:val="auto"/>
                <w:sz w:val="24"/>
                <w:highlight w:val="none"/>
              </w:rPr>
              <w:t>9</w:t>
            </w:r>
            <w:r>
              <w:rPr>
                <w:bCs/>
                <w:color w:val="auto"/>
                <w:sz w:val="24"/>
                <w:highlight w:val="none"/>
              </w:rPr>
              <w:t>，分析项目废水水质与</w:t>
            </w:r>
            <w:r>
              <w:rPr>
                <w:rFonts w:hint="eastAsia"/>
                <w:bCs/>
                <w:color w:val="auto"/>
                <w:sz w:val="24"/>
                <w:highlight w:val="none"/>
              </w:rPr>
              <w:t>九华污水处理厂</w:t>
            </w:r>
            <w:r>
              <w:rPr>
                <w:bCs/>
                <w:color w:val="auto"/>
                <w:sz w:val="24"/>
                <w:highlight w:val="none"/>
              </w:rPr>
              <w:t>进水水质标准的满足情况。分析结果见表7-</w:t>
            </w:r>
            <w:r>
              <w:rPr>
                <w:rFonts w:hint="eastAsia"/>
                <w:bCs/>
                <w:color w:val="auto"/>
                <w:sz w:val="24"/>
                <w:highlight w:val="none"/>
              </w:rPr>
              <w:t>5</w:t>
            </w:r>
            <w:r>
              <w:rPr>
                <w:bCs/>
                <w:color w:val="auto"/>
                <w:sz w:val="24"/>
                <w:highlight w:val="none"/>
              </w:rPr>
              <w:t>所示：</w:t>
            </w:r>
          </w:p>
          <w:p>
            <w:pPr>
              <w:snapToGrid w:val="0"/>
              <w:spacing w:line="360" w:lineRule="auto"/>
              <w:jc w:val="center"/>
              <w:rPr>
                <w:b/>
                <w:color w:val="auto"/>
                <w:sz w:val="24"/>
                <w:highlight w:val="none"/>
              </w:rPr>
            </w:pPr>
            <w:r>
              <w:rPr>
                <w:b/>
                <w:color w:val="auto"/>
                <w:sz w:val="24"/>
                <w:highlight w:val="none"/>
              </w:rPr>
              <w:t>表7-</w:t>
            </w:r>
            <w:r>
              <w:rPr>
                <w:rFonts w:hint="eastAsia"/>
                <w:b/>
                <w:color w:val="auto"/>
                <w:sz w:val="24"/>
                <w:highlight w:val="none"/>
              </w:rPr>
              <w:t>5</w:t>
            </w:r>
            <w:r>
              <w:rPr>
                <w:b/>
                <w:color w:val="auto"/>
                <w:sz w:val="24"/>
                <w:highlight w:val="none"/>
              </w:rPr>
              <w:t xml:space="preserve">  项目废水水质与</w:t>
            </w:r>
            <w:r>
              <w:rPr>
                <w:rFonts w:hint="eastAsia"/>
                <w:b/>
                <w:color w:val="auto"/>
                <w:sz w:val="24"/>
                <w:highlight w:val="none"/>
              </w:rPr>
              <w:t>九华污水处理厂</w:t>
            </w:r>
            <w:r>
              <w:rPr>
                <w:b/>
                <w:color w:val="auto"/>
                <w:sz w:val="24"/>
                <w:highlight w:val="none"/>
              </w:rPr>
              <w:t>进水水质分析表</w:t>
            </w:r>
          </w:p>
          <w:tbl>
            <w:tblPr>
              <w:tblStyle w:val="29"/>
              <w:tblW w:w="93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08"/>
              <w:gridCol w:w="2029"/>
              <w:gridCol w:w="2024"/>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08" w:type="dxa"/>
                  <w:tcBorders>
                    <w:top w:val="single" w:color="auto" w:sz="12" w:space="0"/>
                    <w:left w:val="single" w:color="auto" w:sz="12" w:space="0"/>
                    <w:tl2br w:val="single" w:color="auto" w:sz="4" w:space="0"/>
                  </w:tcBorders>
                  <w:tcMar>
                    <w:top w:w="17" w:type="dxa"/>
                    <w:left w:w="17" w:type="dxa"/>
                    <w:bottom w:w="0" w:type="dxa"/>
                    <w:right w:w="17" w:type="dxa"/>
                  </w:tcMar>
                  <w:vAlign w:val="center"/>
                </w:tcPr>
                <w:p>
                  <w:pPr>
                    <w:snapToGrid w:val="0"/>
                    <w:ind w:right="420"/>
                    <w:jc w:val="right"/>
                    <w:rPr>
                      <w:color w:val="auto"/>
                      <w:szCs w:val="21"/>
                      <w:highlight w:val="none"/>
                    </w:rPr>
                  </w:pPr>
                  <w:r>
                    <w:rPr>
                      <w:color w:val="auto"/>
                      <w:szCs w:val="21"/>
                      <w:highlight w:val="none"/>
                    </w:rPr>
                    <w:t>项目</w:t>
                  </w:r>
                </w:p>
                <w:p>
                  <w:pPr>
                    <w:snapToGrid w:val="0"/>
                    <w:ind w:firstLine="420" w:firstLineChars="200"/>
                    <w:rPr>
                      <w:color w:val="auto"/>
                      <w:szCs w:val="21"/>
                      <w:highlight w:val="none"/>
                    </w:rPr>
                  </w:pPr>
                  <w:r>
                    <w:rPr>
                      <w:color w:val="auto"/>
                      <w:szCs w:val="21"/>
                      <w:highlight w:val="none"/>
                    </w:rPr>
                    <w:t>指标</w:t>
                  </w:r>
                </w:p>
              </w:tc>
              <w:tc>
                <w:tcPr>
                  <w:tcW w:w="2029" w:type="dxa"/>
                  <w:tcBorders>
                    <w:top w:val="single" w:color="auto" w:sz="12" w:space="0"/>
                  </w:tcBorders>
                  <w:tcMar>
                    <w:top w:w="17" w:type="dxa"/>
                    <w:left w:w="17" w:type="dxa"/>
                    <w:bottom w:w="0" w:type="dxa"/>
                    <w:right w:w="17" w:type="dxa"/>
                  </w:tcMar>
                  <w:vAlign w:val="center"/>
                </w:tcPr>
                <w:p>
                  <w:pPr>
                    <w:snapToGrid w:val="0"/>
                    <w:jc w:val="center"/>
                    <w:rPr>
                      <w:color w:val="auto"/>
                      <w:szCs w:val="21"/>
                      <w:highlight w:val="none"/>
                    </w:rPr>
                  </w:pPr>
                  <w:r>
                    <w:rPr>
                      <w:rFonts w:hint="eastAsia"/>
                      <w:color w:val="auto"/>
                      <w:szCs w:val="21"/>
                      <w:highlight w:val="none"/>
                    </w:rPr>
                    <w:t>九华污水处理厂</w:t>
                  </w:r>
                  <w:r>
                    <w:rPr>
                      <w:color w:val="auto"/>
                      <w:szCs w:val="21"/>
                      <w:highlight w:val="none"/>
                    </w:rPr>
                    <w:t>接管标准</w:t>
                  </w:r>
                </w:p>
              </w:tc>
              <w:tc>
                <w:tcPr>
                  <w:tcW w:w="2024" w:type="dxa"/>
                  <w:tcBorders>
                    <w:top w:val="single" w:color="auto" w:sz="12" w:space="0"/>
                  </w:tcBorders>
                  <w:vAlign w:val="center"/>
                </w:tcPr>
                <w:p>
                  <w:pPr>
                    <w:snapToGrid w:val="0"/>
                    <w:jc w:val="center"/>
                    <w:rPr>
                      <w:color w:val="auto"/>
                      <w:szCs w:val="21"/>
                      <w:highlight w:val="none"/>
                    </w:rPr>
                  </w:pPr>
                  <w:r>
                    <w:rPr>
                      <w:color w:val="auto"/>
                      <w:szCs w:val="21"/>
                      <w:highlight w:val="none"/>
                    </w:rPr>
                    <w:t>项目排入</w:t>
                  </w:r>
                  <w:r>
                    <w:rPr>
                      <w:rFonts w:hint="eastAsia"/>
                      <w:color w:val="auto"/>
                      <w:szCs w:val="21"/>
                      <w:highlight w:val="none"/>
                    </w:rPr>
                    <w:t>湘潭经开区</w:t>
                  </w:r>
                  <w:r>
                    <w:rPr>
                      <w:color w:val="auto"/>
                      <w:szCs w:val="21"/>
                      <w:highlight w:val="none"/>
                    </w:rPr>
                    <w:t>污水管网废水水质</w:t>
                  </w:r>
                </w:p>
              </w:tc>
              <w:tc>
                <w:tcPr>
                  <w:tcW w:w="2020" w:type="dxa"/>
                  <w:tcBorders>
                    <w:top w:val="single" w:color="auto" w:sz="12" w:space="0"/>
                    <w:right w:val="single" w:color="auto" w:sz="12" w:space="0"/>
                  </w:tcBorders>
                  <w:vAlign w:val="center"/>
                </w:tcPr>
                <w:p>
                  <w:pPr>
                    <w:snapToGrid w:val="0"/>
                    <w:jc w:val="center"/>
                    <w:rPr>
                      <w:color w:val="auto"/>
                      <w:szCs w:val="21"/>
                      <w:highlight w:val="none"/>
                    </w:rPr>
                  </w:pPr>
                  <w:r>
                    <w:rPr>
                      <w:color w:val="auto"/>
                      <w:szCs w:val="21"/>
                      <w:highlight w:val="none"/>
                    </w:rPr>
                    <w:t>满足情况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08" w:type="dxa"/>
                  <w:tcBorders>
                    <w:left w:val="single" w:color="auto" w:sz="12" w:space="0"/>
                  </w:tcBorders>
                  <w:tcMar>
                    <w:top w:w="17" w:type="dxa"/>
                    <w:left w:w="17" w:type="dxa"/>
                    <w:bottom w:w="0" w:type="dxa"/>
                    <w:right w:w="17" w:type="dxa"/>
                  </w:tcMar>
                  <w:vAlign w:val="center"/>
                </w:tcPr>
                <w:p>
                  <w:pPr>
                    <w:snapToGrid w:val="0"/>
                    <w:jc w:val="center"/>
                    <w:rPr>
                      <w:color w:val="auto"/>
                      <w:szCs w:val="21"/>
                      <w:highlight w:val="none"/>
                    </w:rPr>
                  </w:pPr>
                  <w:r>
                    <w:rPr>
                      <w:color w:val="auto"/>
                      <w:szCs w:val="21"/>
                      <w:highlight w:val="none"/>
                    </w:rPr>
                    <w:t>pH</w:t>
                  </w:r>
                </w:p>
              </w:tc>
              <w:tc>
                <w:tcPr>
                  <w:tcW w:w="2029" w:type="dxa"/>
                  <w:vAlign w:val="center"/>
                </w:tcPr>
                <w:p>
                  <w:pPr>
                    <w:snapToGrid w:val="0"/>
                    <w:jc w:val="center"/>
                    <w:rPr>
                      <w:color w:val="auto"/>
                      <w:szCs w:val="21"/>
                      <w:highlight w:val="none"/>
                    </w:rPr>
                  </w:pPr>
                  <w:r>
                    <w:rPr>
                      <w:color w:val="auto"/>
                      <w:szCs w:val="21"/>
                      <w:highlight w:val="none"/>
                    </w:rPr>
                    <w:t>6-9</w:t>
                  </w:r>
                </w:p>
              </w:tc>
              <w:tc>
                <w:tcPr>
                  <w:tcW w:w="2024" w:type="dxa"/>
                  <w:vAlign w:val="center"/>
                </w:tcPr>
                <w:p>
                  <w:pPr>
                    <w:snapToGrid w:val="0"/>
                    <w:jc w:val="center"/>
                    <w:rPr>
                      <w:color w:val="auto"/>
                      <w:szCs w:val="21"/>
                      <w:highlight w:val="none"/>
                    </w:rPr>
                  </w:pPr>
                  <w:r>
                    <w:rPr>
                      <w:color w:val="auto"/>
                      <w:szCs w:val="21"/>
                      <w:highlight w:val="none"/>
                    </w:rPr>
                    <w:t>6-9</w:t>
                  </w:r>
                </w:p>
              </w:tc>
              <w:tc>
                <w:tcPr>
                  <w:tcW w:w="2020" w:type="dxa"/>
                  <w:tcBorders>
                    <w:right w:val="single" w:color="auto" w:sz="12" w:space="0"/>
                  </w:tcBorders>
                  <w:vAlign w:val="center"/>
                </w:tcPr>
                <w:p>
                  <w:pPr>
                    <w:snapToGrid w:val="0"/>
                    <w:jc w:val="center"/>
                    <w:rPr>
                      <w:color w:val="auto"/>
                      <w:szCs w:val="21"/>
                      <w:highlight w:val="none"/>
                    </w:rPr>
                  </w:pPr>
                  <w:r>
                    <w:rPr>
                      <w:color w:val="auto"/>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08" w:type="dxa"/>
                  <w:tcBorders>
                    <w:left w:val="single" w:color="auto" w:sz="12" w:space="0"/>
                  </w:tcBorders>
                  <w:tcMar>
                    <w:top w:w="17" w:type="dxa"/>
                    <w:left w:w="17" w:type="dxa"/>
                    <w:bottom w:w="0" w:type="dxa"/>
                    <w:right w:w="17" w:type="dxa"/>
                  </w:tcMar>
                  <w:vAlign w:val="center"/>
                </w:tcPr>
                <w:p>
                  <w:pPr>
                    <w:snapToGrid w:val="0"/>
                    <w:jc w:val="center"/>
                    <w:rPr>
                      <w:color w:val="auto"/>
                      <w:szCs w:val="21"/>
                      <w:highlight w:val="none"/>
                    </w:rPr>
                  </w:pPr>
                  <w:r>
                    <w:rPr>
                      <w:color w:val="auto"/>
                      <w:szCs w:val="21"/>
                      <w:highlight w:val="none"/>
                    </w:rPr>
                    <w:t>COD</w:t>
                  </w:r>
                  <w:r>
                    <w:rPr>
                      <w:color w:val="auto"/>
                      <w:szCs w:val="21"/>
                      <w:highlight w:val="none"/>
                      <w:vertAlign w:val="subscript"/>
                    </w:rPr>
                    <w:t>cr</w:t>
                  </w:r>
                  <w:r>
                    <w:rPr>
                      <w:color w:val="auto"/>
                      <w:szCs w:val="21"/>
                      <w:highlight w:val="none"/>
                    </w:rPr>
                    <w:t>（mg/L）</w:t>
                  </w:r>
                </w:p>
              </w:tc>
              <w:tc>
                <w:tcPr>
                  <w:tcW w:w="2029" w:type="dxa"/>
                  <w:tcMar>
                    <w:top w:w="17" w:type="dxa"/>
                    <w:left w:w="17" w:type="dxa"/>
                    <w:bottom w:w="0" w:type="dxa"/>
                    <w:right w:w="17" w:type="dxa"/>
                  </w:tcMar>
                  <w:vAlign w:val="center"/>
                </w:tcPr>
                <w:p>
                  <w:pPr>
                    <w:snapToGrid w:val="0"/>
                    <w:jc w:val="center"/>
                    <w:rPr>
                      <w:color w:val="auto"/>
                      <w:szCs w:val="21"/>
                      <w:highlight w:val="none"/>
                    </w:rPr>
                  </w:pPr>
                  <w:r>
                    <w:rPr>
                      <w:color w:val="auto"/>
                      <w:szCs w:val="21"/>
                      <w:highlight w:val="none"/>
                    </w:rPr>
                    <w:t>≤</w:t>
                  </w:r>
                  <w:r>
                    <w:rPr>
                      <w:rFonts w:hint="eastAsia"/>
                      <w:color w:val="auto"/>
                      <w:szCs w:val="21"/>
                      <w:highlight w:val="none"/>
                    </w:rPr>
                    <w:t>30</w:t>
                  </w:r>
                  <w:r>
                    <w:rPr>
                      <w:color w:val="auto"/>
                      <w:szCs w:val="21"/>
                      <w:highlight w:val="none"/>
                    </w:rPr>
                    <w:t>0</w:t>
                  </w:r>
                </w:p>
              </w:tc>
              <w:tc>
                <w:tcPr>
                  <w:tcW w:w="2024" w:type="dxa"/>
                  <w:vAlign w:val="center"/>
                </w:tcPr>
                <w:p>
                  <w:pPr>
                    <w:snapToGrid w:val="0"/>
                    <w:jc w:val="center"/>
                    <w:rPr>
                      <w:color w:val="auto"/>
                      <w:szCs w:val="21"/>
                      <w:highlight w:val="none"/>
                    </w:rPr>
                  </w:pPr>
                  <w:r>
                    <w:rPr>
                      <w:rFonts w:hint="eastAsia"/>
                      <w:color w:val="auto"/>
                      <w:szCs w:val="21"/>
                      <w:highlight w:val="none"/>
                    </w:rPr>
                    <w:t>200</w:t>
                  </w:r>
                </w:p>
              </w:tc>
              <w:tc>
                <w:tcPr>
                  <w:tcW w:w="2020" w:type="dxa"/>
                  <w:tcBorders>
                    <w:right w:val="single" w:color="auto" w:sz="12" w:space="0"/>
                  </w:tcBorders>
                  <w:vAlign w:val="center"/>
                </w:tcPr>
                <w:p>
                  <w:pPr>
                    <w:snapToGrid w:val="0"/>
                    <w:jc w:val="center"/>
                    <w:rPr>
                      <w:color w:val="auto"/>
                      <w:szCs w:val="21"/>
                      <w:highlight w:val="none"/>
                    </w:rPr>
                  </w:pPr>
                  <w:r>
                    <w:rPr>
                      <w:color w:val="auto"/>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08" w:type="dxa"/>
                  <w:tcBorders>
                    <w:left w:val="single" w:color="auto" w:sz="12" w:space="0"/>
                  </w:tcBorders>
                  <w:tcMar>
                    <w:top w:w="17" w:type="dxa"/>
                    <w:left w:w="17" w:type="dxa"/>
                    <w:bottom w:w="0" w:type="dxa"/>
                    <w:right w:w="17" w:type="dxa"/>
                  </w:tcMar>
                  <w:vAlign w:val="center"/>
                </w:tcPr>
                <w:p>
                  <w:pPr>
                    <w:snapToGrid w:val="0"/>
                    <w:jc w:val="center"/>
                    <w:rPr>
                      <w:color w:val="auto"/>
                      <w:szCs w:val="21"/>
                      <w:highlight w:val="none"/>
                    </w:rPr>
                  </w:pPr>
                  <w:r>
                    <w:rPr>
                      <w:color w:val="auto"/>
                      <w:szCs w:val="21"/>
                      <w:highlight w:val="none"/>
                    </w:rPr>
                    <w:t>BOD</w:t>
                  </w:r>
                  <w:r>
                    <w:rPr>
                      <w:color w:val="auto"/>
                      <w:szCs w:val="21"/>
                      <w:highlight w:val="none"/>
                      <w:vertAlign w:val="subscript"/>
                    </w:rPr>
                    <w:t>5</w:t>
                  </w:r>
                  <w:r>
                    <w:rPr>
                      <w:color w:val="auto"/>
                      <w:szCs w:val="21"/>
                      <w:highlight w:val="none"/>
                    </w:rPr>
                    <w:t>（mg/L）</w:t>
                  </w:r>
                </w:p>
              </w:tc>
              <w:tc>
                <w:tcPr>
                  <w:tcW w:w="2029" w:type="dxa"/>
                  <w:tcMar>
                    <w:top w:w="17" w:type="dxa"/>
                    <w:left w:w="17" w:type="dxa"/>
                    <w:bottom w:w="0" w:type="dxa"/>
                    <w:right w:w="17" w:type="dxa"/>
                  </w:tcMar>
                  <w:vAlign w:val="center"/>
                </w:tcPr>
                <w:p>
                  <w:pPr>
                    <w:snapToGrid w:val="0"/>
                    <w:jc w:val="center"/>
                    <w:rPr>
                      <w:color w:val="auto"/>
                      <w:szCs w:val="21"/>
                      <w:highlight w:val="none"/>
                    </w:rPr>
                  </w:pPr>
                  <w:r>
                    <w:rPr>
                      <w:color w:val="auto"/>
                      <w:szCs w:val="21"/>
                      <w:highlight w:val="none"/>
                    </w:rPr>
                    <w:t>≤</w:t>
                  </w:r>
                  <w:r>
                    <w:rPr>
                      <w:rFonts w:hint="eastAsia"/>
                      <w:color w:val="auto"/>
                      <w:szCs w:val="21"/>
                      <w:highlight w:val="none"/>
                    </w:rPr>
                    <w:t>130</w:t>
                  </w:r>
                </w:p>
              </w:tc>
              <w:tc>
                <w:tcPr>
                  <w:tcW w:w="2024" w:type="dxa"/>
                  <w:vAlign w:val="center"/>
                </w:tcPr>
                <w:p>
                  <w:pPr>
                    <w:snapToGrid w:val="0"/>
                    <w:jc w:val="center"/>
                    <w:rPr>
                      <w:color w:val="auto"/>
                      <w:szCs w:val="21"/>
                      <w:highlight w:val="none"/>
                    </w:rPr>
                  </w:pPr>
                  <w:r>
                    <w:rPr>
                      <w:rFonts w:hint="eastAsia"/>
                      <w:color w:val="auto"/>
                      <w:szCs w:val="21"/>
                      <w:highlight w:val="none"/>
                    </w:rPr>
                    <w:t>80</w:t>
                  </w:r>
                </w:p>
              </w:tc>
              <w:tc>
                <w:tcPr>
                  <w:tcW w:w="2020" w:type="dxa"/>
                  <w:tcBorders>
                    <w:right w:val="single" w:color="auto" w:sz="12" w:space="0"/>
                  </w:tcBorders>
                  <w:vAlign w:val="center"/>
                </w:tcPr>
                <w:p>
                  <w:pPr>
                    <w:snapToGrid w:val="0"/>
                    <w:jc w:val="center"/>
                    <w:rPr>
                      <w:color w:val="auto"/>
                      <w:szCs w:val="21"/>
                      <w:highlight w:val="none"/>
                    </w:rPr>
                  </w:pPr>
                  <w:r>
                    <w:rPr>
                      <w:color w:val="auto"/>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08" w:type="dxa"/>
                  <w:tcBorders>
                    <w:left w:val="single" w:color="auto" w:sz="12" w:space="0"/>
                  </w:tcBorders>
                  <w:tcMar>
                    <w:top w:w="17" w:type="dxa"/>
                    <w:left w:w="17" w:type="dxa"/>
                    <w:bottom w:w="0" w:type="dxa"/>
                    <w:right w:w="17" w:type="dxa"/>
                  </w:tcMar>
                  <w:vAlign w:val="center"/>
                </w:tcPr>
                <w:p>
                  <w:pPr>
                    <w:snapToGrid w:val="0"/>
                    <w:jc w:val="center"/>
                    <w:rPr>
                      <w:color w:val="auto"/>
                      <w:szCs w:val="21"/>
                      <w:highlight w:val="none"/>
                    </w:rPr>
                  </w:pPr>
                  <w:r>
                    <w:rPr>
                      <w:color w:val="auto"/>
                      <w:szCs w:val="21"/>
                      <w:highlight w:val="none"/>
                    </w:rPr>
                    <w:t>SS（mg/L）</w:t>
                  </w:r>
                </w:p>
              </w:tc>
              <w:tc>
                <w:tcPr>
                  <w:tcW w:w="2029" w:type="dxa"/>
                  <w:tcMar>
                    <w:top w:w="17" w:type="dxa"/>
                    <w:left w:w="17" w:type="dxa"/>
                    <w:bottom w:w="0" w:type="dxa"/>
                    <w:right w:w="17" w:type="dxa"/>
                  </w:tcMar>
                  <w:vAlign w:val="center"/>
                </w:tcPr>
                <w:p>
                  <w:pPr>
                    <w:snapToGrid w:val="0"/>
                    <w:jc w:val="center"/>
                    <w:rPr>
                      <w:color w:val="auto"/>
                      <w:szCs w:val="21"/>
                      <w:highlight w:val="none"/>
                    </w:rPr>
                  </w:pPr>
                  <w:r>
                    <w:rPr>
                      <w:color w:val="auto"/>
                      <w:szCs w:val="21"/>
                      <w:highlight w:val="none"/>
                    </w:rPr>
                    <w:t>≤</w:t>
                  </w:r>
                  <w:r>
                    <w:rPr>
                      <w:rFonts w:hint="eastAsia"/>
                      <w:color w:val="auto"/>
                      <w:szCs w:val="21"/>
                      <w:highlight w:val="none"/>
                    </w:rPr>
                    <w:t>300</w:t>
                  </w:r>
                </w:p>
              </w:tc>
              <w:tc>
                <w:tcPr>
                  <w:tcW w:w="2024" w:type="dxa"/>
                  <w:vAlign w:val="center"/>
                </w:tcPr>
                <w:p>
                  <w:pPr>
                    <w:snapToGrid w:val="0"/>
                    <w:jc w:val="center"/>
                    <w:rPr>
                      <w:color w:val="auto"/>
                      <w:szCs w:val="21"/>
                      <w:highlight w:val="none"/>
                    </w:rPr>
                  </w:pPr>
                  <w:r>
                    <w:rPr>
                      <w:rFonts w:hint="eastAsia"/>
                      <w:color w:val="auto"/>
                      <w:szCs w:val="21"/>
                      <w:highlight w:val="none"/>
                    </w:rPr>
                    <w:t>80</w:t>
                  </w:r>
                </w:p>
              </w:tc>
              <w:tc>
                <w:tcPr>
                  <w:tcW w:w="2020" w:type="dxa"/>
                  <w:tcBorders>
                    <w:right w:val="single" w:color="auto" w:sz="12" w:space="0"/>
                  </w:tcBorders>
                  <w:vAlign w:val="center"/>
                </w:tcPr>
                <w:p>
                  <w:pPr>
                    <w:snapToGrid w:val="0"/>
                    <w:jc w:val="center"/>
                    <w:rPr>
                      <w:color w:val="auto"/>
                      <w:szCs w:val="21"/>
                      <w:highlight w:val="none"/>
                    </w:rPr>
                  </w:pPr>
                  <w:r>
                    <w:rPr>
                      <w:color w:val="auto"/>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08" w:type="dxa"/>
                  <w:tcBorders>
                    <w:left w:val="single" w:color="auto" w:sz="12" w:space="0"/>
                  </w:tcBorders>
                  <w:tcMar>
                    <w:top w:w="17" w:type="dxa"/>
                    <w:left w:w="17" w:type="dxa"/>
                    <w:bottom w:w="0" w:type="dxa"/>
                    <w:right w:w="17" w:type="dxa"/>
                  </w:tcMar>
                  <w:vAlign w:val="center"/>
                </w:tcPr>
                <w:p>
                  <w:pPr>
                    <w:snapToGrid w:val="0"/>
                    <w:jc w:val="center"/>
                    <w:rPr>
                      <w:color w:val="auto"/>
                      <w:szCs w:val="21"/>
                      <w:highlight w:val="none"/>
                    </w:rPr>
                  </w:pPr>
                  <w:r>
                    <w:rPr>
                      <w:color w:val="auto"/>
                      <w:szCs w:val="21"/>
                      <w:highlight w:val="none"/>
                    </w:rPr>
                    <w:t>氨氮（mg/L）</w:t>
                  </w:r>
                </w:p>
              </w:tc>
              <w:tc>
                <w:tcPr>
                  <w:tcW w:w="2029" w:type="dxa"/>
                  <w:tcMar>
                    <w:top w:w="17" w:type="dxa"/>
                    <w:left w:w="17" w:type="dxa"/>
                    <w:bottom w:w="0" w:type="dxa"/>
                    <w:right w:w="17" w:type="dxa"/>
                  </w:tcMar>
                  <w:vAlign w:val="center"/>
                </w:tcPr>
                <w:p>
                  <w:pPr>
                    <w:snapToGrid w:val="0"/>
                    <w:jc w:val="center"/>
                    <w:rPr>
                      <w:color w:val="auto"/>
                      <w:szCs w:val="21"/>
                      <w:highlight w:val="none"/>
                    </w:rPr>
                  </w:pPr>
                  <w:r>
                    <w:rPr>
                      <w:rFonts w:hint="eastAsia"/>
                      <w:color w:val="auto"/>
                      <w:szCs w:val="21"/>
                      <w:highlight w:val="none"/>
                    </w:rPr>
                    <w:t>30</w:t>
                  </w:r>
                </w:p>
              </w:tc>
              <w:tc>
                <w:tcPr>
                  <w:tcW w:w="2024" w:type="dxa"/>
                  <w:vAlign w:val="center"/>
                </w:tcPr>
                <w:p>
                  <w:pPr>
                    <w:snapToGrid w:val="0"/>
                    <w:jc w:val="center"/>
                    <w:rPr>
                      <w:color w:val="auto"/>
                      <w:szCs w:val="21"/>
                      <w:highlight w:val="none"/>
                    </w:rPr>
                  </w:pPr>
                  <w:r>
                    <w:rPr>
                      <w:rFonts w:hint="eastAsia"/>
                      <w:color w:val="auto"/>
                      <w:szCs w:val="21"/>
                      <w:highlight w:val="none"/>
                    </w:rPr>
                    <w:t>25</w:t>
                  </w:r>
                </w:p>
              </w:tc>
              <w:tc>
                <w:tcPr>
                  <w:tcW w:w="2020" w:type="dxa"/>
                  <w:tcBorders>
                    <w:right w:val="single" w:color="auto" w:sz="12" w:space="0"/>
                  </w:tcBorders>
                  <w:vAlign w:val="center"/>
                </w:tcPr>
                <w:p>
                  <w:pPr>
                    <w:snapToGrid w:val="0"/>
                    <w:jc w:val="center"/>
                    <w:rPr>
                      <w:color w:val="auto"/>
                      <w:szCs w:val="21"/>
                      <w:highlight w:val="none"/>
                    </w:rPr>
                  </w:pPr>
                  <w:r>
                    <w:rPr>
                      <w:color w:val="auto"/>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08" w:type="dxa"/>
                  <w:tcBorders>
                    <w:left w:val="single" w:color="auto" w:sz="12" w:space="0"/>
                  </w:tcBorders>
                  <w:tcMar>
                    <w:top w:w="17" w:type="dxa"/>
                    <w:left w:w="17" w:type="dxa"/>
                    <w:bottom w:w="0" w:type="dxa"/>
                    <w:right w:w="17" w:type="dxa"/>
                  </w:tcMar>
                  <w:vAlign w:val="center"/>
                </w:tcPr>
                <w:p>
                  <w:pPr>
                    <w:snapToGrid w:val="0"/>
                    <w:jc w:val="center"/>
                    <w:rPr>
                      <w:color w:val="auto"/>
                      <w:szCs w:val="21"/>
                      <w:highlight w:val="none"/>
                    </w:rPr>
                  </w:pPr>
                  <w:r>
                    <w:rPr>
                      <w:rFonts w:hint="eastAsia"/>
                      <w:color w:val="auto"/>
                      <w:szCs w:val="21"/>
                      <w:highlight w:val="none"/>
                    </w:rPr>
                    <w:t>动植物油</w:t>
                  </w:r>
                  <w:r>
                    <w:rPr>
                      <w:color w:val="auto"/>
                      <w:szCs w:val="21"/>
                      <w:highlight w:val="none"/>
                    </w:rPr>
                    <w:t>（mg/L）</w:t>
                  </w:r>
                </w:p>
              </w:tc>
              <w:tc>
                <w:tcPr>
                  <w:tcW w:w="2029" w:type="dxa"/>
                  <w:tcMar>
                    <w:top w:w="17" w:type="dxa"/>
                    <w:left w:w="17" w:type="dxa"/>
                    <w:bottom w:w="0" w:type="dxa"/>
                    <w:right w:w="17" w:type="dxa"/>
                  </w:tcMar>
                  <w:vAlign w:val="center"/>
                </w:tcPr>
                <w:p>
                  <w:pPr>
                    <w:snapToGrid w:val="0"/>
                    <w:jc w:val="center"/>
                    <w:rPr>
                      <w:color w:val="auto"/>
                      <w:szCs w:val="21"/>
                      <w:highlight w:val="none"/>
                    </w:rPr>
                  </w:pPr>
                  <w:r>
                    <w:rPr>
                      <w:color w:val="auto"/>
                      <w:szCs w:val="21"/>
                      <w:highlight w:val="none"/>
                    </w:rPr>
                    <w:t>≤</w:t>
                  </w:r>
                  <w:r>
                    <w:rPr>
                      <w:rFonts w:hint="eastAsia"/>
                      <w:color w:val="auto"/>
                      <w:szCs w:val="21"/>
                      <w:highlight w:val="none"/>
                    </w:rPr>
                    <w:t>100</w:t>
                  </w:r>
                </w:p>
              </w:tc>
              <w:tc>
                <w:tcPr>
                  <w:tcW w:w="2024" w:type="dxa"/>
                  <w:vAlign w:val="center"/>
                </w:tcPr>
                <w:p>
                  <w:pPr>
                    <w:snapToGrid w:val="0"/>
                    <w:jc w:val="center"/>
                    <w:rPr>
                      <w:color w:val="auto"/>
                      <w:szCs w:val="21"/>
                      <w:highlight w:val="none"/>
                    </w:rPr>
                  </w:pPr>
                  <w:r>
                    <w:rPr>
                      <w:rFonts w:hint="eastAsia"/>
                      <w:color w:val="auto"/>
                      <w:szCs w:val="21"/>
                      <w:highlight w:val="none"/>
                    </w:rPr>
                    <w:t>15</w:t>
                  </w:r>
                </w:p>
              </w:tc>
              <w:tc>
                <w:tcPr>
                  <w:tcW w:w="2020" w:type="dxa"/>
                  <w:tcBorders>
                    <w:right w:val="single" w:color="auto" w:sz="12" w:space="0"/>
                  </w:tcBorders>
                  <w:vAlign w:val="center"/>
                </w:tcPr>
                <w:p>
                  <w:pPr>
                    <w:snapToGrid w:val="0"/>
                    <w:jc w:val="center"/>
                    <w:rPr>
                      <w:color w:val="auto"/>
                      <w:szCs w:val="21"/>
                      <w:highlight w:val="none"/>
                    </w:rPr>
                  </w:pPr>
                  <w:r>
                    <w:rPr>
                      <w:color w:val="auto"/>
                      <w:szCs w:val="21"/>
                      <w:highlight w:val="none"/>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jc w:val="center"/>
              </w:trPr>
              <w:tc>
                <w:tcPr>
                  <w:tcW w:w="3308" w:type="dxa"/>
                  <w:tcBorders>
                    <w:left w:val="single" w:color="auto" w:sz="12" w:space="0"/>
                    <w:bottom w:val="single" w:color="auto" w:sz="12" w:space="0"/>
                  </w:tcBorders>
                  <w:tcMar>
                    <w:top w:w="17" w:type="dxa"/>
                    <w:left w:w="17" w:type="dxa"/>
                    <w:bottom w:w="0" w:type="dxa"/>
                    <w:right w:w="17" w:type="dxa"/>
                  </w:tcMar>
                  <w:vAlign w:val="center"/>
                </w:tcPr>
                <w:p>
                  <w:pPr>
                    <w:snapToGrid w:val="0"/>
                    <w:jc w:val="center"/>
                    <w:rPr>
                      <w:color w:val="auto"/>
                      <w:szCs w:val="21"/>
                      <w:highlight w:val="none"/>
                    </w:rPr>
                  </w:pPr>
                  <w:r>
                    <w:rPr>
                      <w:rFonts w:hint="eastAsia"/>
                      <w:color w:val="auto"/>
                      <w:szCs w:val="21"/>
                      <w:highlight w:val="none"/>
                    </w:rPr>
                    <w:t>总磷</w:t>
                  </w:r>
                  <w:r>
                    <w:rPr>
                      <w:color w:val="auto"/>
                      <w:szCs w:val="21"/>
                      <w:highlight w:val="none"/>
                    </w:rPr>
                    <w:t>（mg/L）</w:t>
                  </w:r>
                </w:p>
              </w:tc>
              <w:tc>
                <w:tcPr>
                  <w:tcW w:w="2029" w:type="dxa"/>
                  <w:tcBorders>
                    <w:bottom w:val="single" w:color="auto" w:sz="12" w:space="0"/>
                  </w:tcBorders>
                  <w:tcMar>
                    <w:top w:w="17" w:type="dxa"/>
                    <w:left w:w="17" w:type="dxa"/>
                    <w:bottom w:w="0" w:type="dxa"/>
                    <w:right w:w="17" w:type="dxa"/>
                  </w:tcMar>
                  <w:vAlign w:val="center"/>
                </w:tcPr>
                <w:p>
                  <w:pPr>
                    <w:snapToGrid w:val="0"/>
                    <w:jc w:val="center"/>
                    <w:rPr>
                      <w:color w:val="auto"/>
                      <w:szCs w:val="21"/>
                      <w:highlight w:val="none"/>
                    </w:rPr>
                  </w:pPr>
                  <w:r>
                    <w:rPr>
                      <w:rFonts w:hint="eastAsia"/>
                      <w:color w:val="auto"/>
                      <w:szCs w:val="21"/>
                      <w:highlight w:val="none"/>
                    </w:rPr>
                    <w:t>4</w:t>
                  </w:r>
                </w:p>
              </w:tc>
              <w:tc>
                <w:tcPr>
                  <w:tcW w:w="2024" w:type="dxa"/>
                  <w:tcBorders>
                    <w:bottom w:val="single" w:color="auto" w:sz="12" w:space="0"/>
                  </w:tcBorders>
                  <w:vAlign w:val="center"/>
                </w:tcPr>
                <w:p>
                  <w:pPr>
                    <w:snapToGrid w:val="0"/>
                    <w:jc w:val="center"/>
                    <w:rPr>
                      <w:color w:val="auto"/>
                      <w:szCs w:val="21"/>
                      <w:highlight w:val="none"/>
                    </w:rPr>
                  </w:pPr>
                  <w:r>
                    <w:rPr>
                      <w:rFonts w:hint="eastAsia"/>
                      <w:color w:val="auto"/>
                      <w:szCs w:val="21"/>
                      <w:highlight w:val="none"/>
                    </w:rPr>
                    <w:t>0.5</w:t>
                  </w:r>
                </w:p>
              </w:tc>
              <w:tc>
                <w:tcPr>
                  <w:tcW w:w="2020" w:type="dxa"/>
                  <w:tcBorders>
                    <w:bottom w:val="single" w:color="auto" w:sz="12" w:space="0"/>
                    <w:right w:val="single" w:color="auto" w:sz="12" w:space="0"/>
                  </w:tcBorders>
                  <w:vAlign w:val="center"/>
                </w:tcPr>
                <w:p>
                  <w:pPr>
                    <w:snapToGrid w:val="0"/>
                    <w:jc w:val="center"/>
                    <w:rPr>
                      <w:color w:val="auto"/>
                      <w:szCs w:val="21"/>
                      <w:highlight w:val="none"/>
                    </w:rPr>
                  </w:pPr>
                  <w:r>
                    <w:rPr>
                      <w:color w:val="auto"/>
                      <w:szCs w:val="21"/>
                      <w:highlight w:val="none"/>
                    </w:rPr>
                    <w:t>满足</w:t>
                  </w:r>
                </w:p>
              </w:tc>
            </w:tr>
          </w:tbl>
          <w:p>
            <w:pPr>
              <w:spacing w:line="360" w:lineRule="auto"/>
              <w:ind w:firstLine="480" w:firstLineChars="200"/>
              <w:rPr>
                <w:color w:val="auto"/>
                <w:sz w:val="24"/>
                <w:highlight w:val="none"/>
              </w:rPr>
            </w:pPr>
            <w:r>
              <w:rPr>
                <w:color w:val="auto"/>
                <w:sz w:val="24"/>
                <w:highlight w:val="none"/>
              </w:rPr>
              <w:t>从上表可以看出，项目废水经</w:t>
            </w:r>
            <w:r>
              <w:rPr>
                <w:rFonts w:hint="eastAsia"/>
                <w:color w:val="auto"/>
                <w:sz w:val="24"/>
                <w:highlight w:val="none"/>
              </w:rPr>
              <w:t>隔油池</w:t>
            </w:r>
            <w:r>
              <w:rPr>
                <w:color w:val="auto"/>
                <w:sz w:val="24"/>
                <w:highlight w:val="none"/>
              </w:rPr>
              <w:t>、化粪池处理后，排放的废水中各污染因子浓度均能满足</w:t>
            </w:r>
            <w:r>
              <w:rPr>
                <w:rFonts w:hint="eastAsia"/>
                <w:bCs/>
                <w:color w:val="auto"/>
                <w:sz w:val="24"/>
                <w:highlight w:val="none"/>
              </w:rPr>
              <w:t>九华污水处理厂</w:t>
            </w:r>
            <w:r>
              <w:rPr>
                <w:color w:val="auto"/>
                <w:sz w:val="24"/>
                <w:highlight w:val="none"/>
              </w:rPr>
              <w:t>进水水质要求。</w:t>
            </w:r>
          </w:p>
          <w:p>
            <w:pPr>
              <w:spacing w:line="360" w:lineRule="auto"/>
              <w:ind w:firstLine="480" w:firstLineChars="200"/>
              <w:rPr>
                <w:color w:val="auto"/>
                <w:sz w:val="24"/>
                <w:highlight w:val="none"/>
              </w:rPr>
            </w:pPr>
            <w:r>
              <w:rPr>
                <w:color w:val="auto"/>
                <w:sz w:val="24"/>
                <w:highlight w:val="none"/>
              </w:rPr>
              <w:t>（3）废水处理规模分析</w:t>
            </w:r>
          </w:p>
          <w:p>
            <w:pPr>
              <w:spacing w:line="360" w:lineRule="auto"/>
              <w:ind w:firstLine="480" w:firstLineChars="200"/>
              <w:rPr>
                <w:color w:val="auto"/>
                <w:sz w:val="24"/>
                <w:highlight w:val="none"/>
              </w:rPr>
            </w:pPr>
            <w:r>
              <w:rPr>
                <w:color w:val="auto"/>
                <w:sz w:val="24"/>
                <w:highlight w:val="none"/>
              </w:rPr>
              <w:t>九华污水处理厂</w:t>
            </w:r>
            <w:r>
              <w:rPr>
                <w:rFonts w:hint="eastAsia"/>
                <w:color w:val="auto"/>
                <w:sz w:val="24"/>
                <w:highlight w:val="none"/>
              </w:rPr>
              <w:t>一期工程设计污水处理能力为</w:t>
            </w:r>
            <w:r>
              <w:rPr>
                <w:color w:val="auto"/>
                <w:sz w:val="24"/>
                <w:highlight w:val="none"/>
              </w:rPr>
              <w:t>5万m</w:t>
            </w:r>
            <w:r>
              <w:rPr>
                <w:color w:val="auto"/>
                <w:sz w:val="24"/>
                <w:highlight w:val="none"/>
                <w:vertAlign w:val="superscript"/>
              </w:rPr>
              <w:t>3</w:t>
            </w:r>
            <w:r>
              <w:rPr>
                <w:color w:val="auto"/>
                <w:sz w:val="24"/>
                <w:highlight w:val="none"/>
              </w:rPr>
              <w:t>/d，</w:t>
            </w:r>
            <w:r>
              <w:rPr>
                <w:rFonts w:hint="eastAsia"/>
                <w:color w:val="auto"/>
                <w:sz w:val="24"/>
                <w:highlight w:val="none"/>
              </w:rPr>
              <w:t>目前已经建成，预计2017年12月投入运营。</w:t>
            </w:r>
          </w:p>
          <w:p>
            <w:pPr>
              <w:spacing w:line="360" w:lineRule="auto"/>
              <w:ind w:firstLine="480" w:firstLineChars="200"/>
              <w:rPr>
                <w:color w:val="auto"/>
                <w:sz w:val="24"/>
                <w:highlight w:val="none"/>
              </w:rPr>
            </w:pPr>
            <w:r>
              <w:rPr>
                <w:rFonts w:hint="eastAsia"/>
                <w:color w:val="auto"/>
                <w:sz w:val="24"/>
                <w:highlight w:val="none"/>
              </w:rPr>
              <w:t>本项目目前处于前期筹备中，预计2022年12月投入运营，届时九华污水处理厂已经运营。本项目废水排放量为62.88m</w:t>
            </w:r>
            <w:r>
              <w:rPr>
                <w:rFonts w:hint="eastAsia"/>
                <w:color w:val="auto"/>
                <w:sz w:val="24"/>
                <w:highlight w:val="none"/>
                <w:vertAlign w:val="superscript"/>
              </w:rPr>
              <w:t>3</w:t>
            </w:r>
            <w:r>
              <w:rPr>
                <w:rFonts w:hint="eastAsia"/>
                <w:color w:val="auto"/>
                <w:sz w:val="24"/>
                <w:highlight w:val="none"/>
              </w:rPr>
              <w:t>/d，占九华污水处理厂污水处理规模的0.13，</w:t>
            </w:r>
            <w:r>
              <w:rPr>
                <w:color w:val="auto"/>
                <w:sz w:val="24"/>
                <w:highlight w:val="none"/>
              </w:rPr>
              <w:t>项目废水的排放不会对</w:t>
            </w:r>
            <w:r>
              <w:rPr>
                <w:rFonts w:hint="eastAsia"/>
                <w:color w:val="auto"/>
                <w:sz w:val="24"/>
                <w:highlight w:val="none"/>
              </w:rPr>
              <w:t>九华污水处理厂</w:t>
            </w:r>
            <w:r>
              <w:rPr>
                <w:color w:val="auto"/>
                <w:sz w:val="24"/>
                <w:highlight w:val="none"/>
              </w:rPr>
              <w:t>的正常运行造成冲击。</w:t>
            </w:r>
          </w:p>
          <w:p>
            <w:pPr>
              <w:spacing w:line="360" w:lineRule="auto"/>
              <w:ind w:firstLine="480" w:firstLineChars="200"/>
              <w:rPr>
                <w:color w:val="auto"/>
                <w:sz w:val="24"/>
                <w:highlight w:val="none"/>
              </w:rPr>
            </w:pPr>
            <w:r>
              <w:rPr>
                <w:color w:val="auto"/>
                <w:sz w:val="24"/>
                <w:highlight w:val="none"/>
              </w:rPr>
              <w:t>（</w:t>
            </w:r>
            <w:r>
              <w:rPr>
                <w:rFonts w:hint="eastAsia"/>
                <w:color w:val="auto"/>
                <w:sz w:val="24"/>
                <w:highlight w:val="none"/>
              </w:rPr>
              <w:t>4</w:t>
            </w:r>
            <w:r>
              <w:rPr>
                <w:color w:val="auto"/>
                <w:sz w:val="24"/>
                <w:highlight w:val="none"/>
              </w:rPr>
              <w:t>）小结</w:t>
            </w:r>
          </w:p>
          <w:p>
            <w:pPr>
              <w:spacing w:line="360" w:lineRule="auto"/>
              <w:ind w:firstLine="480" w:firstLineChars="200"/>
              <w:rPr>
                <w:color w:val="auto"/>
                <w:sz w:val="24"/>
                <w:highlight w:val="none"/>
              </w:rPr>
            </w:pPr>
            <w:r>
              <w:rPr>
                <w:color w:val="auto"/>
                <w:sz w:val="24"/>
                <w:highlight w:val="none"/>
              </w:rPr>
              <w:t>结合上述分析可知，本项目废水排入</w:t>
            </w:r>
            <w:r>
              <w:rPr>
                <w:rFonts w:hint="eastAsia"/>
                <w:color w:val="auto"/>
                <w:sz w:val="24"/>
                <w:highlight w:val="none"/>
              </w:rPr>
              <w:t>九华污水处理厂处理</w:t>
            </w:r>
            <w:r>
              <w:rPr>
                <w:color w:val="auto"/>
                <w:sz w:val="24"/>
                <w:highlight w:val="none"/>
              </w:rPr>
              <w:t>可行。</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7.2.3 声环境影响分析</w:t>
            </w:r>
          </w:p>
          <w:p>
            <w:pPr>
              <w:spacing w:line="360" w:lineRule="auto"/>
              <w:ind w:firstLine="480" w:firstLineChars="200"/>
              <w:rPr>
                <w:color w:val="auto"/>
                <w:sz w:val="24"/>
                <w:highlight w:val="none"/>
              </w:rPr>
            </w:pPr>
            <w:r>
              <w:rPr>
                <w:rFonts w:hint="eastAsia"/>
                <w:color w:val="auto"/>
                <w:sz w:val="24"/>
                <w:highlight w:val="none"/>
              </w:rPr>
              <w:t>（1）噪声源强</w:t>
            </w:r>
          </w:p>
          <w:p>
            <w:pPr>
              <w:spacing w:line="360" w:lineRule="auto"/>
              <w:ind w:firstLine="480" w:firstLineChars="200"/>
              <w:rPr>
                <w:color w:val="auto"/>
                <w:sz w:val="24"/>
                <w:highlight w:val="none"/>
              </w:rPr>
            </w:pPr>
            <w:r>
              <w:rPr>
                <w:rFonts w:hint="eastAsia" w:ascii="宋体" w:cs="宋体"/>
                <w:bCs/>
                <w:color w:val="auto"/>
                <w:sz w:val="24"/>
                <w:highlight w:val="none"/>
              </w:rPr>
              <w:t>本项目</w:t>
            </w:r>
            <w:r>
              <w:rPr>
                <w:color w:val="auto"/>
                <w:sz w:val="24"/>
                <w:highlight w:val="none"/>
              </w:rPr>
              <w:t>主要产噪设备</w:t>
            </w:r>
            <w:r>
              <w:rPr>
                <w:rFonts w:hint="eastAsia"/>
                <w:color w:val="auto"/>
                <w:sz w:val="24"/>
                <w:highlight w:val="none"/>
              </w:rPr>
              <w:t>布置于项目整体工程厂址中心位置，各设备采取减噪措施前后</w:t>
            </w:r>
            <w:r>
              <w:rPr>
                <w:color w:val="auto"/>
                <w:sz w:val="24"/>
                <w:highlight w:val="none"/>
              </w:rPr>
              <w:t>噪声源强见表</w:t>
            </w:r>
            <w:r>
              <w:rPr>
                <w:rFonts w:hint="eastAsia"/>
                <w:color w:val="auto"/>
                <w:sz w:val="24"/>
                <w:highlight w:val="none"/>
              </w:rPr>
              <w:t>7</w:t>
            </w:r>
            <w:r>
              <w:rPr>
                <w:color w:val="auto"/>
                <w:sz w:val="24"/>
                <w:highlight w:val="none"/>
              </w:rPr>
              <w:t>-</w:t>
            </w:r>
            <w:r>
              <w:rPr>
                <w:rFonts w:hint="eastAsia"/>
                <w:color w:val="auto"/>
                <w:sz w:val="24"/>
                <w:highlight w:val="none"/>
              </w:rPr>
              <w:t>6。</w:t>
            </w:r>
          </w:p>
          <w:p>
            <w:pPr>
              <w:snapToGrid w:val="0"/>
              <w:spacing w:line="360" w:lineRule="auto"/>
              <w:jc w:val="center"/>
              <w:rPr>
                <w:b/>
                <w:color w:val="auto"/>
                <w:sz w:val="24"/>
                <w:highlight w:val="none"/>
              </w:rPr>
            </w:pPr>
            <w:r>
              <w:rPr>
                <w:rFonts w:hint="eastAsia"/>
                <w:b/>
                <w:color w:val="auto"/>
                <w:sz w:val="24"/>
                <w:highlight w:val="none"/>
              </w:rPr>
              <w:t>表7-6  主要噪声设备一览表</w:t>
            </w:r>
          </w:p>
          <w:tbl>
            <w:tblPr>
              <w:tblStyle w:val="29"/>
              <w:tblW w:w="938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7"/>
              <w:gridCol w:w="1860"/>
              <w:gridCol w:w="2106"/>
              <w:gridCol w:w="2693"/>
              <w:gridCol w:w="20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序号</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名称</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噪声级</w:t>
                  </w:r>
                  <w:r>
                    <w:rPr>
                      <w:rFonts w:ascii="Times New Roman"/>
                      <w:color w:val="auto"/>
                      <w:sz w:val="21"/>
                      <w:szCs w:val="21"/>
                      <w:highlight w:val="none"/>
                    </w:rPr>
                    <w:t>dB</w:t>
                  </w:r>
                  <w:r>
                    <w:rPr>
                      <w:rFonts w:hint="eastAsia" w:ascii="Times New Roman"/>
                      <w:color w:val="auto"/>
                      <w:sz w:val="21"/>
                      <w:szCs w:val="21"/>
                      <w:highlight w:val="none"/>
                    </w:rPr>
                    <w:t>（</w:t>
                  </w:r>
                  <w:r>
                    <w:rPr>
                      <w:rFonts w:ascii="Times New Roman"/>
                      <w:color w:val="auto"/>
                      <w:sz w:val="21"/>
                      <w:szCs w:val="21"/>
                      <w:highlight w:val="none"/>
                    </w:rPr>
                    <w:t>A</w:t>
                  </w:r>
                  <w:r>
                    <w:rPr>
                      <w:rFonts w:hint="eastAsia" w:ascii="Times New Roman"/>
                      <w:color w:val="auto"/>
                      <w:sz w:val="21"/>
                      <w:szCs w:val="21"/>
                      <w:highlight w:val="none"/>
                    </w:rPr>
                    <w:t>）</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拟采取的减噪措施</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采取措施后的</w:t>
                  </w:r>
                  <w:r>
                    <w:rPr>
                      <w:rFonts w:ascii="Times New Roman"/>
                      <w:color w:val="auto"/>
                      <w:sz w:val="21"/>
                      <w:szCs w:val="21"/>
                      <w:highlight w:val="none"/>
                    </w:rPr>
                    <w:t>噪声值dB（A）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1</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压机</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80-85</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厂房隔声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2</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车床</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75-85</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安全防护门、厂房隔声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3</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热处理炉</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80-90</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厂房隔声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4</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磨床</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78-85</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安全防护门、厂房隔声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5</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钻床</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85-95</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安全防护门、厂房隔声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6</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铣床</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75-85</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安全防护门、厂房隔声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注塑机</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75-85</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厂房隔声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装配机</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75-85</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厂房隔声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9</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风机</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80-90</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厂房隔声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10</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中央空调压缩机组</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80-90</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基础建筑，建筑隔声</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397" w:hRule="atLeast"/>
              </w:trPr>
              <w:tc>
                <w:tcPr>
                  <w:tcW w:w="697"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11</w:t>
                  </w:r>
                </w:p>
              </w:tc>
              <w:tc>
                <w:tcPr>
                  <w:tcW w:w="1860"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中央空调冷却塔</w:t>
                  </w:r>
                </w:p>
              </w:tc>
              <w:tc>
                <w:tcPr>
                  <w:tcW w:w="2106"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70-75</w:t>
                  </w:r>
                </w:p>
              </w:tc>
              <w:tc>
                <w:tcPr>
                  <w:tcW w:w="2693"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隔声罩</w:t>
                  </w:r>
                </w:p>
              </w:tc>
              <w:tc>
                <w:tcPr>
                  <w:tcW w:w="2025" w:type="dxa"/>
                  <w:vAlign w:val="center"/>
                </w:tcPr>
                <w:p>
                  <w:pPr>
                    <w:pStyle w:val="14"/>
                    <w:spacing w:before="100" w:beforeAutospacing="1" w:after="100" w:afterAutospacing="1"/>
                    <w:ind w:firstLine="0"/>
                    <w:jc w:val="center"/>
                    <w:rPr>
                      <w:rFonts w:ascii="Times New Roman"/>
                      <w:color w:val="auto"/>
                      <w:sz w:val="21"/>
                      <w:szCs w:val="21"/>
                      <w:highlight w:val="none"/>
                    </w:rPr>
                  </w:pPr>
                  <w:r>
                    <w:rPr>
                      <w:rFonts w:hint="eastAsia" w:ascii="Times New Roman"/>
                      <w:color w:val="auto"/>
                      <w:sz w:val="21"/>
                      <w:szCs w:val="21"/>
                      <w:highlight w:val="none"/>
                    </w:rPr>
                    <w:t>65</w:t>
                  </w:r>
                </w:p>
              </w:tc>
            </w:tr>
          </w:tbl>
          <w:p>
            <w:pPr>
              <w:snapToGrid w:val="0"/>
              <w:spacing w:line="360" w:lineRule="auto"/>
              <w:jc w:val="center"/>
              <w:rPr>
                <w:b/>
                <w:color w:val="auto"/>
                <w:sz w:val="24"/>
                <w:highlight w:val="none"/>
              </w:rPr>
            </w:pPr>
          </w:p>
          <w:p>
            <w:pPr>
              <w:spacing w:line="360" w:lineRule="auto"/>
              <w:ind w:firstLine="480" w:firstLineChars="200"/>
              <w:rPr>
                <w:color w:val="auto"/>
                <w:sz w:val="24"/>
                <w:highlight w:val="none"/>
              </w:rPr>
            </w:pPr>
            <w:r>
              <w:rPr>
                <w:rFonts w:hint="eastAsia"/>
                <w:color w:val="auto"/>
                <w:sz w:val="24"/>
                <w:highlight w:val="none"/>
              </w:rPr>
              <w:t>（2）预测模式</w:t>
            </w:r>
          </w:p>
          <w:p>
            <w:pPr>
              <w:pStyle w:val="7"/>
              <w:spacing w:after="0" w:line="460" w:lineRule="exact"/>
              <w:ind w:firstLine="480" w:firstLineChars="200"/>
              <w:rPr>
                <w:color w:val="auto"/>
                <w:sz w:val="24"/>
                <w:highlight w:val="none"/>
              </w:rPr>
            </w:pPr>
            <w:r>
              <w:rPr>
                <w:rFonts w:hint="eastAsia" w:ascii="宋体" w:hAnsi="宋体" w:cs="宋体"/>
                <w:color w:val="auto"/>
                <w:sz w:val="24"/>
                <w:highlight w:val="none"/>
              </w:rPr>
              <w:t>①</w:t>
            </w:r>
            <w:r>
              <w:rPr>
                <w:rFonts w:hAnsi="宋体"/>
                <w:color w:val="auto"/>
                <w:sz w:val="24"/>
                <w:highlight w:val="none"/>
              </w:rPr>
              <w:t>点声源预测模式：</w:t>
            </w:r>
          </w:p>
          <w:p>
            <w:pPr>
              <w:pStyle w:val="7"/>
              <w:spacing w:after="0"/>
              <w:ind w:firstLine="480" w:firstLineChars="200"/>
              <w:rPr>
                <w:color w:val="auto"/>
                <w:sz w:val="24"/>
                <w:highlight w:val="none"/>
              </w:rPr>
            </w:pPr>
            <w:r>
              <w:rPr>
                <w:color w:val="auto"/>
                <w:sz w:val="24"/>
                <w:highlight w:val="none"/>
              </w:rPr>
              <w:drawing>
                <wp:inline distT="0" distB="0" distL="0" distR="0">
                  <wp:extent cx="1979930" cy="286385"/>
                  <wp:effectExtent l="19050" t="0" r="1270" b="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5"/>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a:xfrm>
                            <a:off x="0" y="0"/>
                            <a:ext cx="1979930" cy="286385"/>
                          </a:xfrm>
                          <a:prstGeom prst="rect">
                            <a:avLst/>
                          </a:prstGeom>
                          <a:noFill/>
                          <a:ln w="9525">
                            <a:noFill/>
                            <a:miter lim="800000"/>
                            <a:headEnd/>
                            <a:tailEnd/>
                          </a:ln>
                        </pic:spPr>
                      </pic:pic>
                    </a:graphicData>
                  </a:graphic>
                </wp:inline>
              </w:drawing>
            </w:r>
          </w:p>
          <w:p>
            <w:pPr>
              <w:pStyle w:val="7"/>
              <w:spacing w:after="0" w:line="460" w:lineRule="exact"/>
              <w:ind w:firstLine="480" w:firstLineChars="200"/>
              <w:rPr>
                <w:color w:val="auto"/>
                <w:sz w:val="24"/>
                <w:highlight w:val="none"/>
              </w:rPr>
            </w:pPr>
            <w:r>
              <w:rPr>
                <w:rFonts w:hAnsi="宋体"/>
                <w:color w:val="auto"/>
                <w:sz w:val="24"/>
                <w:highlight w:val="none"/>
              </w:rPr>
              <w:t>式中：</w:t>
            </w:r>
            <w:r>
              <w:rPr>
                <w:color w:val="auto"/>
                <w:sz w:val="24"/>
                <w:highlight w:val="none"/>
              </w:rPr>
              <w:t>L</w:t>
            </w:r>
            <w:r>
              <w:rPr>
                <w:rFonts w:hAnsi="宋体"/>
                <w:color w:val="auto"/>
                <w:sz w:val="24"/>
                <w:highlight w:val="none"/>
                <w:vertAlign w:val="subscript"/>
              </w:rPr>
              <w:t>（</w:t>
            </w:r>
            <w:r>
              <w:rPr>
                <w:color w:val="auto"/>
                <w:sz w:val="24"/>
                <w:highlight w:val="none"/>
                <w:vertAlign w:val="subscript"/>
              </w:rPr>
              <w:t>r</w:t>
            </w:r>
            <w:r>
              <w:rPr>
                <w:rFonts w:hAnsi="宋体"/>
                <w:color w:val="auto"/>
                <w:sz w:val="24"/>
                <w:highlight w:val="none"/>
                <w:vertAlign w:val="subscript"/>
              </w:rPr>
              <w:t>）</w:t>
            </w:r>
            <w:r>
              <w:rPr>
                <w:rFonts w:hAnsi="宋体"/>
                <w:color w:val="auto"/>
                <w:sz w:val="24"/>
                <w:highlight w:val="none"/>
              </w:rPr>
              <w:t>：噪声源距离为</w:t>
            </w:r>
            <w:r>
              <w:rPr>
                <w:color w:val="auto"/>
                <w:sz w:val="24"/>
                <w:highlight w:val="none"/>
              </w:rPr>
              <w:t>r</w:t>
            </w:r>
            <w:r>
              <w:rPr>
                <w:rFonts w:hAnsi="宋体"/>
                <w:color w:val="auto"/>
                <w:sz w:val="24"/>
                <w:highlight w:val="none"/>
              </w:rPr>
              <w:t>处等效</w:t>
            </w:r>
            <w:r>
              <w:rPr>
                <w:color w:val="auto"/>
                <w:sz w:val="24"/>
                <w:highlight w:val="none"/>
              </w:rPr>
              <w:t>A</w:t>
            </w:r>
            <w:r>
              <w:rPr>
                <w:rFonts w:hAnsi="宋体"/>
                <w:color w:val="auto"/>
                <w:sz w:val="24"/>
                <w:highlight w:val="none"/>
              </w:rPr>
              <w:t>声级值，</w:t>
            </w:r>
            <w:r>
              <w:rPr>
                <w:color w:val="auto"/>
                <w:sz w:val="24"/>
                <w:highlight w:val="none"/>
              </w:rPr>
              <w:t>dB(A)</w:t>
            </w:r>
            <w:r>
              <w:rPr>
                <w:rFonts w:hAnsi="宋体"/>
                <w:color w:val="auto"/>
                <w:sz w:val="24"/>
                <w:highlight w:val="none"/>
              </w:rPr>
              <w:t>；</w:t>
            </w:r>
          </w:p>
          <w:p>
            <w:pPr>
              <w:pStyle w:val="7"/>
              <w:spacing w:after="0" w:line="460" w:lineRule="exact"/>
              <w:ind w:firstLine="1080" w:firstLineChars="450"/>
              <w:rPr>
                <w:color w:val="auto"/>
                <w:sz w:val="24"/>
                <w:highlight w:val="none"/>
              </w:rPr>
            </w:pPr>
            <w:r>
              <w:rPr>
                <w:color w:val="auto"/>
                <w:sz w:val="24"/>
                <w:highlight w:val="none"/>
              </w:rPr>
              <w:t>L</w:t>
            </w:r>
            <w:r>
              <w:rPr>
                <w:rFonts w:hAnsi="宋体"/>
                <w:color w:val="auto"/>
                <w:sz w:val="24"/>
                <w:highlight w:val="none"/>
                <w:vertAlign w:val="subscript"/>
              </w:rPr>
              <w:t>（</w:t>
            </w:r>
            <w:r>
              <w:rPr>
                <w:color w:val="auto"/>
                <w:sz w:val="24"/>
                <w:highlight w:val="none"/>
                <w:vertAlign w:val="subscript"/>
              </w:rPr>
              <w:t>r0</w:t>
            </w:r>
            <w:r>
              <w:rPr>
                <w:rFonts w:hAnsi="宋体"/>
                <w:color w:val="auto"/>
                <w:sz w:val="24"/>
                <w:highlight w:val="none"/>
                <w:vertAlign w:val="subscript"/>
              </w:rPr>
              <w:t>）</w:t>
            </w:r>
            <w:r>
              <w:rPr>
                <w:rFonts w:hAnsi="宋体"/>
                <w:color w:val="auto"/>
                <w:sz w:val="24"/>
                <w:highlight w:val="none"/>
              </w:rPr>
              <w:t>：距噪声源距离为</w:t>
            </w:r>
            <w:r>
              <w:rPr>
                <w:color w:val="auto"/>
                <w:sz w:val="24"/>
                <w:highlight w:val="none"/>
              </w:rPr>
              <w:t>r</w:t>
            </w:r>
            <w:r>
              <w:rPr>
                <w:color w:val="auto"/>
                <w:sz w:val="24"/>
                <w:highlight w:val="none"/>
                <w:vertAlign w:val="subscript"/>
              </w:rPr>
              <w:t>0</w:t>
            </w:r>
            <w:r>
              <w:rPr>
                <w:rFonts w:hAnsi="宋体"/>
                <w:color w:val="auto"/>
                <w:sz w:val="24"/>
                <w:highlight w:val="none"/>
              </w:rPr>
              <w:t>处等效</w:t>
            </w:r>
            <w:r>
              <w:rPr>
                <w:color w:val="auto"/>
                <w:sz w:val="24"/>
                <w:highlight w:val="none"/>
              </w:rPr>
              <w:t>A</w:t>
            </w:r>
            <w:r>
              <w:rPr>
                <w:rFonts w:hAnsi="宋体"/>
                <w:color w:val="auto"/>
                <w:sz w:val="24"/>
                <w:highlight w:val="none"/>
              </w:rPr>
              <w:t>声级值，</w:t>
            </w:r>
            <w:r>
              <w:rPr>
                <w:color w:val="auto"/>
                <w:sz w:val="24"/>
                <w:highlight w:val="none"/>
              </w:rPr>
              <w:t>dB(A)</w:t>
            </w:r>
            <w:r>
              <w:rPr>
                <w:rFonts w:hAnsi="宋体"/>
                <w:color w:val="auto"/>
                <w:sz w:val="24"/>
                <w:highlight w:val="none"/>
              </w:rPr>
              <w:t>；</w:t>
            </w:r>
          </w:p>
          <w:p>
            <w:pPr>
              <w:pStyle w:val="7"/>
              <w:spacing w:after="0" w:line="460" w:lineRule="exact"/>
              <w:ind w:firstLine="1200" w:firstLineChars="500"/>
              <w:rPr>
                <w:color w:val="auto"/>
                <w:sz w:val="24"/>
                <w:highlight w:val="none"/>
              </w:rPr>
            </w:pPr>
            <w:r>
              <w:rPr>
                <w:color w:val="auto"/>
                <w:sz w:val="24"/>
                <w:highlight w:val="none"/>
              </w:rPr>
              <w:t>ΔL</w:t>
            </w:r>
            <w:r>
              <w:rPr>
                <w:rFonts w:hAnsi="宋体"/>
                <w:color w:val="auto"/>
                <w:sz w:val="24"/>
                <w:highlight w:val="none"/>
              </w:rPr>
              <w:t>：噪声衰减量（包括遮挡物、空气吸收、地面效应引起的衰减量），</w:t>
            </w:r>
            <w:r>
              <w:rPr>
                <w:color w:val="auto"/>
                <w:sz w:val="24"/>
                <w:highlight w:val="none"/>
              </w:rPr>
              <w:t>dB(A)</w:t>
            </w:r>
            <w:r>
              <w:rPr>
                <w:rFonts w:hAnsi="宋体"/>
                <w:color w:val="auto"/>
                <w:sz w:val="24"/>
                <w:highlight w:val="none"/>
              </w:rPr>
              <w:t>；</w:t>
            </w:r>
          </w:p>
          <w:p>
            <w:pPr>
              <w:pStyle w:val="7"/>
              <w:spacing w:after="0" w:line="460" w:lineRule="exact"/>
              <w:ind w:firstLine="1380" w:firstLineChars="575"/>
              <w:rPr>
                <w:color w:val="auto"/>
                <w:sz w:val="24"/>
                <w:highlight w:val="none"/>
              </w:rPr>
            </w:pPr>
            <w:r>
              <w:rPr>
                <w:color w:val="auto"/>
                <w:sz w:val="24"/>
                <w:highlight w:val="none"/>
              </w:rPr>
              <w:t>r</w:t>
            </w:r>
            <w:r>
              <w:rPr>
                <w:rFonts w:hint="eastAsia"/>
                <w:color w:val="auto"/>
                <w:sz w:val="24"/>
                <w:highlight w:val="none"/>
              </w:rPr>
              <w:t>：</w:t>
            </w:r>
            <w:r>
              <w:rPr>
                <w:rFonts w:hAnsi="宋体"/>
                <w:color w:val="auto"/>
                <w:sz w:val="24"/>
                <w:highlight w:val="none"/>
              </w:rPr>
              <w:t>关心点距噪声源距离，</w:t>
            </w:r>
            <w:r>
              <w:rPr>
                <w:color w:val="auto"/>
                <w:sz w:val="24"/>
                <w:highlight w:val="none"/>
              </w:rPr>
              <w:t>m</w:t>
            </w:r>
            <w:r>
              <w:rPr>
                <w:rFonts w:hAnsi="宋体"/>
                <w:color w:val="auto"/>
                <w:sz w:val="24"/>
                <w:highlight w:val="none"/>
              </w:rPr>
              <w:t>；</w:t>
            </w:r>
          </w:p>
          <w:p>
            <w:pPr>
              <w:pStyle w:val="7"/>
              <w:spacing w:after="0" w:line="460" w:lineRule="exact"/>
              <w:ind w:firstLine="1320" w:firstLineChars="550"/>
              <w:rPr>
                <w:color w:val="auto"/>
                <w:sz w:val="24"/>
                <w:highlight w:val="none"/>
              </w:rPr>
            </w:pPr>
            <w:r>
              <w:rPr>
                <w:color w:val="auto"/>
                <w:sz w:val="24"/>
                <w:highlight w:val="none"/>
              </w:rPr>
              <w:t>r</w:t>
            </w:r>
            <w:r>
              <w:rPr>
                <w:color w:val="auto"/>
                <w:sz w:val="24"/>
                <w:highlight w:val="none"/>
                <w:vertAlign w:val="subscript"/>
              </w:rPr>
              <w:t>0</w:t>
            </w:r>
            <w:r>
              <w:rPr>
                <w:rFonts w:hint="eastAsia"/>
                <w:color w:val="auto"/>
                <w:sz w:val="24"/>
                <w:highlight w:val="none"/>
              </w:rPr>
              <w:t>：</w:t>
            </w:r>
            <w:r>
              <w:rPr>
                <w:rFonts w:hAnsi="宋体"/>
                <w:color w:val="auto"/>
                <w:sz w:val="24"/>
                <w:highlight w:val="none"/>
              </w:rPr>
              <w:t>距噪声源距离，</w:t>
            </w:r>
            <w:r>
              <w:rPr>
                <w:color w:val="auto"/>
                <w:sz w:val="24"/>
                <w:highlight w:val="none"/>
              </w:rPr>
              <w:t>m</w:t>
            </w:r>
            <w:r>
              <w:rPr>
                <w:rFonts w:hAnsi="宋体"/>
                <w:color w:val="auto"/>
                <w:sz w:val="24"/>
                <w:highlight w:val="none"/>
              </w:rPr>
              <w:t>。</w:t>
            </w:r>
          </w:p>
          <w:p>
            <w:pPr>
              <w:pStyle w:val="7"/>
              <w:spacing w:after="0" w:line="460" w:lineRule="exact"/>
              <w:ind w:firstLine="480" w:firstLineChars="200"/>
              <w:rPr>
                <w:color w:val="auto"/>
                <w:sz w:val="24"/>
                <w:highlight w:val="none"/>
              </w:rPr>
            </w:pPr>
            <w:r>
              <w:rPr>
                <w:rFonts w:hint="eastAsia" w:ascii="宋体" w:hAnsi="宋体" w:cs="宋体"/>
                <w:color w:val="auto"/>
                <w:sz w:val="24"/>
                <w:highlight w:val="none"/>
              </w:rPr>
              <w:t>②</w:t>
            </w:r>
            <w:r>
              <w:rPr>
                <w:rFonts w:hAnsi="宋体"/>
                <w:color w:val="auto"/>
                <w:sz w:val="24"/>
                <w:highlight w:val="none"/>
              </w:rPr>
              <w:t>多源噪声叠加公式：</w:t>
            </w:r>
          </w:p>
          <w:p>
            <w:pPr>
              <w:pStyle w:val="7"/>
              <w:spacing w:after="0"/>
              <w:ind w:firstLine="480" w:firstLineChars="200"/>
              <w:rPr>
                <w:color w:val="auto"/>
                <w:sz w:val="24"/>
                <w:highlight w:val="none"/>
              </w:rPr>
            </w:pPr>
            <w:r>
              <w:rPr>
                <w:color w:val="auto"/>
                <w:sz w:val="24"/>
                <w:highlight w:val="none"/>
              </w:rPr>
              <w:drawing>
                <wp:inline distT="0" distB="0" distL="0" distR="0">
                  <wp:extent cx="1812925" cy="540385"/>
                  <wp:effectExtent l="19050" t="0" r="0" b="0"/>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a:xfrm>
                            <a:off x="0" y="0"/>
                            <a:ext cx="1812925" cy="540385"/>
                          </a:xfrm>
                          <a:prstGeom prst="rect">
                            <a:avLst/>
                          </a:prstGeom>
                          <a:noFill/>
                          <a:ln w="9525">
                            <a:noFill/>
                            <a:miter lim="800000"/>
                            <a:headEnd/>
                            <a:tailEnd/>
                          </a:ln>
                        </pic:spPr>
                      </pic:pic>
                    </a:graphicData>
                  </a:graphic>
                </wp:inline>
              </w:drawing>
            </w:r>
          </w:p>
          <w:p>
            <w:pPr>
              <w:pStyle w:val="7"/>
              <w:spacing w:after="0" w:line="460" w:lineRule="exact"/>
              <w:ind w:firstLine="480" w:firstLineChars="200"/>
              <w:rPr>
                <w:color w:val="auto"/>
                <w:sz w:val="24"/>
                <w:highlight w:val="none"/>
              </w:rPr>
            </w:pPr>
            <w:r>
              <w:rPr>
                <w:rFonts w:hAnsi="宋体"/>
                <w:color w:val="auto"/>
                <w:sz w:val="24"/>
                <w:highlight w:val="none"/>
              </w:rPr>
              <w:t>式中：</w:t>
            </w:r>
            <w:r>
              <w:rPr>
                <w:color w:val="auto"/>
                <w:sz w:val="24"/>
                <w:highlight w:val="none"/>
              </w:rPr>
              <w:t>Li</w:t>
            </w:r>
            <w:r>
              <w:rPr>
                <w:rFonts w:hAnsi="宋体"/>
                <w:color w:val="auto"/>
                <w:sz w:val="24"/>
                <w:highlight w:val="none"/>
              </w:rPr>
              <w:t>：第</w:t>
            </w:r>
            <w:r>
              <w:rPr>
                <w:color w:val="auto"/>
                <w:sz w:val="24"/>
                <w:highlight w:val="none"/>
              </w:rPr>
              <w:t>i</w:t>
            </w:r>
            <w:r>
              <w:rPr>
                <w:rFonts w:hAnsi="宋体"/>
                <w:color w:val="auto"/>
                <w:sz w:val="24"/>
                <w:highlight w:val="none"/>
              </w:rPr>
              <w:t>个声源的声压级，</w:t>
            </w:r>
            <w:r>
              <w:rPr>
                <w:color w:val="auto"/>
                <w:sz w:val="24"/>
                <w:highlight w:val="none"/>
              </w:rPr>
              <w:t>dB(A)</w:t>
            </w:r>
            <w:r>
              <w:rPr>
                <w:rFonts w:hAnsi="宋体"/>
                <w:color w:val="auto"/>
                <w:sz w:val="24"/>
                <w:highlight w:val="none"/>
              </w:rPr>
              <w:t>；</w:t>
            </w:r>
          </w:p>
          <w:p>
            <w:pPr>
              <w:pStyle w:val="7"/>
              <w:spacing w:after="0" w:line="460" w:lineRule="exact"/>
              <w:ind w:firstLine="1080" w:firstLineChars="450"/>
              <w:rPr>
                <w:color w:val="auto"/>
                <w:sz w:val="24"/>
                <w:highlight w:val="none"/>
              </w:rPr>
            </w:pPr>
            <w:r>
              <w:rPr>
                <w:color w:val="auto"/>
                <w:sz w:val="24"/>
                <w:highlight w:val="none"/>
              </w:rPr>
              <w:t>ΔL</w:t>
            </w:r>
            <w:r>
              <w:rPr>
                <w:rFonts w:hAnsi="宋体"/>
                <w:color w:val="auto"/>
                <w:sz w:val="24"/>
                <w:highlight w:val="none"/>
              </w:rPr>
              <w:t>：噪声衰减量（包括遮挡物、空气吸收、地面效应引起的衰减量），</w:t>
            </w:r>
            <w:r>
              <w:rPr>
                <w:color w:val="auto"/>
                <w:sz w:val="24"/>
                <w:highlight w:val="none"/>
              </w:rPr>
              <w:t>dB(A)</w:t>
            </w:r>
            <w:r>
              <w:rPr>
                <w:rFonts w:hAnsi="宋体"/>
                <w:color w:val="auto"/>
                <w:sz w:val="24"/>
                <w:highlight w:val="none"/>
              </w:rPr>
              <w:t>；</w:t>
            </w:r>
          </w:p>
          <w:p>
            <w:pPr>
              <w:pStyle w:val="7"/>
              <w:spacing w:after="0" w:line="460" w:lineRule="exact"/>
              <w:ind w:firstLine="1200" w:firstLineChars="500"/>
              <w:rPr>
                <w:color w:val="auto"/>
                <w:sz w:val="24"/>
                <w:highlight w:val="none"/>
              </w:rPr>
            </w:pPr>
            <w:r>
              <w:rPr>
                <w:color w:val="auto"/>
                <w:sz w:val="24"/>
                <w:highlight w:val="none"/>
              </w:rPr>
              <w:t>N</w:t>
            </w:r>
            <w:r>
              <w:rPr>
                <w:rFonts w:hAnsi="宋体"/>
                <w:color w:val="auto"/>
                <w:sz w:val="24"/>
                <w:highlight w:val="none"/>
              </w:rPr>
              <w:t>：声源数量。</w:t>
            </w:r>
          </w:p>
          <w:p>
            <w:pPr>
              <w:pStyle w:val="7"/>
              <w:spacing w:after="0" w:line="460" w:lineRule="exact"/>
              <w:ind w:firstLine="480" w:firstLineChars="200"/>
              <w:rPr>
                <w:color w:val="auto"/>
                <w:sz w:val="24"/>
                <w:highlight w:val="none"/>
              </w:rPr>
            </w:pPr>
            <w:r>
              <w:rPr>
                <w:color w:val="auto"/>
                <w:sz w:val="24"/>
                <w:highlight w:val="none"/>
              </w:rPr>
              <w:t>c</w:t>
            </w:r>
            <w:r>
              <w:rPr>
                <w:rFonts w:hAnsi="宋体"/>
                <w:color w:val="auto"/>
                <w:sz w:val="24"/>
                <w:highlight w:val="none"/>
              </w:rPr>
              <w:t>）遮挡物引起的衰减</w:t>
            </w:r>
          </w:p>
          <w:p>
            <w:pPr>
              <w:pStyle w:val="7"/>
              <w:spacing w:after="0" w:line="460" w:lineRule="exact"/>
              <w:ind w:firstLine="480" w:firstLineChars="200"/>
              <w:rPr>
                <w:color w:val="auto"/>
                <w:sz w:val="24"/>
                <w:highlight w:val="none"/>
              </w:rPr>
            </w:pPr>
            <w:r>
              <w:rPr>
                <w:rFonts w:hAnsi="宋体"/>
                <w:color w:val="auto"/>
                <w:sz w:val="24"/>
                <w:highlight w:val="none"/>
              </w:rPr>
              <w:t>位于声源和预测点之间的实体障碍物起声屏障作用。声屏障的存在使声波不能直达预测点，从而引起声能量的较大衰减。在环境影响评价中，一般可将各种形式的屏障简化为具有一定高度的薄屏障。采用《环境影响评价技术导则</w:t>
            </w:r>
            <w:r>
              <w:rPr>
                <w:rFonts w:hint="eastAsia"/>
                <w:color w:val="auto"/>
                <w:sz w:val="24"/>
                <w:highlight w:val="none"/>
              </w:rPr>
              <w:t xml:space="preserve">  </w:t>
            </w:r>
            <w:r>
              <w:rPr>
                <w:rFonts w:hAnsi="宋体"/>
                <w:color w:val="auto"/>
                <w:sz w:val="24"/>
                <w:highlight w:val="none"/>
              </w:rPr>
              <w:t>声环境》（</w:t>
            </w:r>
            <w:r>
              <w:rPr>
                <w:color w:val="auto"/>
                <w:sz w:val="24"/>
                <w:highlight w:val="none"/>
              </w:rPr>
              <w:t>HJ/T2.4-1995</w:t>
            </w:r>
            <w:r>
              <w:rPr>
                <w:rFonts w:hAnsi="宋体"/>
                <w:color w:val="auto"/>
                <w:sz w:val="24"/>
                <w:highlight w:val="none"/>
              </w:rPr>
              <w:t>）中推荐的遮挡物衰减公式进行预测：</w:t>
            </w:r>
          </w:p>
          <w:p>
            <w:pPr>
              <w:pStyle w:val="7"/>
              <w:spacing w:after="0"/>
              <w:ind w:firstLine="480" w:firstLineChars="200"/>
              <w:rPr>
                <w:color w:val="auto"/>
                <w:sz w:val="24"/>
                <w:highlight w:val="none"/>
              </w:rPr>
            </w:pPr>
            <w:r>
              <w:rPr>
                <w:color w:val="auto"/>
                <w:sz w:val="24"/>
                <w:highlight w:val="none"/>
              </w:rPr>
              <w:drawing>
                <wp:inline distT="0" distB="0" distL="0" distR="0">
                  <wp:extent cx="3100705" cy="508635"/>
                  <wp:effectExtent l="19050" t="0" r="4445" b="0"/>
                  <wp:docPr id="1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7"/>
                          <pic:cNvPicPr>
                            <a:picLocks noChangeAspect="1" noChangeArrowheads="1"/>
                          </pic:cNvPicPr>
                        </pic:nvPicPr>
                        <pic:blipFill>
                          <a:blip r:embed="rId62">
                            <a:clrChange>
                              <a:clrFrom>
                                <a:srgbClr val="FFFFFF"/>
                              </a:clrFrom>
                              <a:clrTo>
                                <a:srgbClr val="FFFFFF">
                                  <a:alpha val="0"/>
                                </a:srgbClr>
                              </a:clrTo>
                            </a:clrChange>
                          </a:blip>
                          <a:srcRect/>
                          <a:stretch>
                            <a:fillRect/>
                          </a:stretch>
                        </pic:blipFill>
                        <pic:spPr>
                          <a:xfrm>
                            <a:off x="0" y="0"/>
                            <a:ext cx="3100705" cy="508635"/>
                          </a:xfrm>
                          <a:prstGeom prst="rect">
                            <a:avLst/>
                          </a:prstGeom>
                          <a:noFill/>
                          <a:ln w="9525">
                            <a:noFill/>
                            <a:miter lim="800000"/>
                            <a:headEnd/>
                            <a:tailEnd/>
                          </a:ln>
                        </pic:spPr>
                      </pic:pic>
                    </a:graphicData>
                  </a:graphic>
                </wp:inline>
              </w:drawing>
            </w:r>
          </w:p>
          <w:p>
            <w:pPr>
              <w:pStyle w:val="7"/>
              <w:spacing w:after="0" w:line="460" w:lineRule="exact"/>
              <w:ind w:firstLine="480" w:firstLineChars="200"/>
              <w:rPr>
                <w:color w:val="auto"/>
                <w:sz w:val="24"/>
                <w:highlight w:val="none"/>
              </w:rPr>
            </w:pPr>
            <w:r>
              <w:rPr>
                <w:rFonts w:hAnsi="宋体"/>
                <w:color w:val="auto"/>
                <w:sz w:val="24"/>
                <w:highlight w:val="none"/>
              </w:rPr>
              <w:t>式中：</w:t>
            </w:r>
          </w:p>
          <w:p>
            <w:pPr>
              <w:pStyle w:val="7"/>
              <w:spacing w:after="0" w:line="460" w:lineRule="exact"/>
              <w:ind w:firstLine="480" w:firstLineChars="200"/>
              <w:rPr>
                <w:color w:val="auto"/>
                <w:sz w:val="24"/>
                <w:highlight w:val="none"/>
              </w:rPr>
            </w:pPr>
            <w:r>
              <w:rPr>
                <w:color w:val="auto"/>
                <w:sz w:val="24"/>
                <w:highlight w:val="none"/>
              </w:rPr>
              <w:t>A</w:t>
            </w:r>
            <w:r>
              <w:rPr>
                <w:color w:val="auto"/>
                <w:sz w:val="24"/>
                <w:highlight w:val="none"/>
                <w:vertAlign w:val="subscript"/>
              </w:rPr>
              <w:t>oct bar</w:t>
            </w:r>
            <w:r>
              <w:rPr>
                <w:rFonts w:hAnsi="宋体"/>
                <w:color w:val="auto"/>
                <w:sz w:val="24"/>
                <w:highlight w:val="none"/>
              </w:rPr>
              <w:t>：声屏障引起的衰减量，</w:t>
            </w:r>
            <w:r>
              <w:rPr>
                <w:color w:val="auto"/>
                <w:sz w:val="24"/>
                <w:highlight w:val="none"/>
              </w:rPr>
              <w:t>dB(A)</w:t>
            </w:r>
            <w:r>
              <w:rPr>
                <w:rFonts w:hAnsi="宋体"/>
                <w:color w:val="auto"/>
                <w:sz w:val="24"/>
                <w:highlight w:val="none"/>
              </w:rPr>
              <w:t>；</w:t>
            </w:r>
          </w:p>
          <w:p>
            <w:pPr>
              <w:pStyle w:val="7"/>
              <w:spacing w:after="0" w:line="460" w:lineRule="exact"/>
              <w:ind w:firstLine="480" w:firstLineChars="200"/>
              <w:rPr>
                <w:color w:val="auto"/>
                <w:sz w:val="24"/>
                <w:highlight w:val="none"/>
              </w:rPr>
            </w:pPr>
            <w:r>
              <w:rPr>
                <w:color w:val="auto"/>
                <w:sz w:val="24"/>
                <w:highlight w:val="none"/>
              </w:rPr>
              <w:t>N</w:t>
            </w:r>
            <w:r>
              <w:rPr>
                <w:rFonts w:hAnsi="宋体"/>
                <w:color w:val="auto"/>
                <w:sz w:val="24"/>
                <w:highlight w:val="none"/>
              </w:rPr>
              <w:t>：传播途径声程差</w:t>
            </w:r>
            <w:r>
              <w:rPr>
                <w:color w:val="auto"/>
                <w:sz w:val="24"/>
                <w:highlight w:val="none"/>
              </w:rPr>
              <w:t>δ</w:t>
            </w:r>
            <w:r>
              <w:rPr>
                <w:color w:val="auto"/>
                <w:sz w:val="24"/>
                <w:highlight w:val="none"/>
                <w:vertAlign w:val="subscript"/>
              </w:rPr>
              <w:t>1</w:t>
            </w:r>
            <w:r>
              <w:rPr>
                <w:rFonts w:hAnsi="宋体"/>
                <w:color w:val="auto"/>
                <w:sz w:val="24"/>
                <w:highlight w:val="none"/>
              </w:rPr>
              <w:t>、</w:t>
            </w:r>
            <w:r>
              <w:rPr>
                <w:color w:val="auto"/>
                <w:sz w:val="24"/>
                <w:highlight w:val="none"/>
              </w:rPr>
              <w:t>δ</w:t>
            </w:r>
            <w:r>
              <w:rPr>
                <w:color w:val="auto"/>
                <w:sz w:val="24"/>
                <w:highlight w:val="none"/>
                <w:vertAlign w:val="subscript"/>
              </w:rPr>
              <w:t>2</w:t>
            </w:r>
            <w:r>
              <w:rPr>
                <w:rFonts w:hAnsi="宋体"/>
                <w:color w:val="auto"/>
                <w:sz w:val="24"/>
                <w:highlight w:val="none"/>
              </w:rPr>
              <w:t>、</w:t>
            </w:r>
            <w:r>
              <w:rPr>
                <w:color w:val="auto"/>
                <w:sz w:val="24"/>
                <w:highlight w:val="none"/>
              </w:rPr>
              <w:t>δ</w:t>
            </w:r>
            <w:r>
              <w:rPr>
                <w:color w:val="auto"/>
                <w:sz w:val="24"/>
                <w:highlight w:val="none"/>
                <w:vertAlign w:val="subscript"/>
              </w:rPr>
              <w:t>3</w:t>
            </w:r>
            <w:r>
              <w:rPr>
                <w:rFonts w:hAnsi="宋体"/>
                <w:color w:val="auto"/>
                <w:sz w:val="24"/>
                <w:highlight w:val="none"/>
              </w:rPr>
              <w:t>所对应的菲涅尔数</w:t>
            </w:r>
            <w:r>
              <w:rPr>
                <w:color w:val="auto"/>
                <w:sz w:val="24"/>
                <w:highlight w:val="none"/>
              </w:rPr>
              <w:t>N</w:t>
            </w:r>
            <w:r>
              <w:rPr>
                <w:color w:val="auto"/>
                <w:sz w:val="24"/>
                <w:highlight w:val="none"/>
                <w:vertAlign w:val="subscript"/>
              </w:rPr>
              <w:t>1</w:t>
            </w:r>
            <w:r>
              <w:rPr>
                <w:rFonts w:hAnsi="宋体"/>
                <w:color w:val="auto"/>
                <w:sz w:val="24"/>
                <w:highlight w:val="none"/>
              </w:rPr>
              <w:t>、</w:t>
            </w:r>
            <w:r>
              <w:rPr>
                <w:color w:val="auto"/>
                <w:sz w:val="24"/>
                <w:highlight w:val="none"/>
              </w:rPr>
              <w:t>N</w:t>
            </w:r>
            <w:r>
              <w:rPr>
                <w:color w:val="auto"/>
                <w:sz w:val="24"/>
                <w:highlight w:val="none"/>
                <w:vertAlign w:val="subscript"/>
              </w:rPr>
              <w:t>2</w:t>
            </w:r>
            <w:r>
              <w:rPr>
                <w:rFonts w:hAnsi="宋体"/>
                <w:color w:val="auto"/>
                <w:sz w:val="24"/>
                <w:highlight w:val="none"/>
              </w:rPr>
              <w:t>、</w:t>
            </w:r>
            <w:r>
              <w:rPr>
                <w:color w:val="auto"/>
                <w:sz w:val="24"/>
                <w:highlight w:val="none"/>
              </w:rPr>
              <w:t>N</w:t>
            </w:r>
            <w:r>
              <w:rPr>
                <w:color w:val="auto"/>
                <w:sz w:val="24"/>
                <w:highlight w:val="none"/>
                <w:vertAlign w:val="subscript"/>
              </w:rPr>
              <w:t>3</w:t>
            </w:r>
            <w:r>
              <w:rPr>
                <w:rFonts w:hAnsi="宋体"/>
                <w:color w:val="auto"/>
                <w:sz w:val="24"/>
                <w:highlight w:val="none"/>
              </w:rPr>
              <w:t>。</w:t>
            </w:r>
          </w:p>
          <w:p>
            <w:pPr>
              <w:pStyle w:val="7"/>
              <w:spacing w:after="0" w:line="460" w:lineRule="exact"/>
              <w:ind w:firstLine="480" w:firstLineChars="200"/>
              <w:rPr>
                <w:rFonts w:hAnsi="宋体"/>
                <w:color w:val="auto"/>
                <w:sz w:val="24"/>
                <w:highlight w:val="none"/>
              </w:rPr>
            </w:pPr>
            <w:r>
              <w:rPr>
                <w:rFonts w:hAnsi="宋体"/>
                <w:color w:val="auto"/>
                <w:sz w:val="24"/>
                <w:highlight w:val="none"/>
              </w:rPr>
              <w:t>由于预测点距声源的距离远远大于声源本身的尺寸，各噪声源设备辐射的噪声在户外传播可视为点声源。采用《环境影响评价技术导则</w:t>
            </w:r>
            <w:r>
              <w:rPr>
                <w:rFonts w:hint="eastAsia" w:hAnsi="宋体"/>
                <w:color w:val="auto"/>
                <w:sz w:val="24"/>
                <w:highlight w:val="none"/>
              </w:rPr>
              <w:t xml:space="preserve">  </w:t>
            </w:r>
            <w:r>
              <w:rPr>
                <w:rFonts w:hAnsi="宋体"/>
                <w:color w:val="auto"/>
                <w:sz w:val="24"/>
                <w:highlight w:val="none"/>
              </w:rPr>
              <w:t>声环境》（HJ2.4-2009）中推荐的工业噪声室外声源预测模式和多源噪声叠加公式进行预测。ΔL噪声源衰减量包括遮挡物衰减量、空气吸收衰减量、地面效应引起的衰减量，其中主要为遮挡物衰减量。空气和地面引起的衰减量与距离衰减相比很小，故预测中主要考虑设备降噪和厂房围护结构引起的衰减量，以及遮挡物引起的衰减和传播过程中的自然衰减。</w:t>
            </w:r>
          </w:p>
          <w:p>
            <w:pPr>
              <w:pStyle w:val="7"/>
              <w:spacing w:after="0" w:line="460" w:lineRule="exact"/>
              <w:ind w:firstLine="480" w:firstLineChars="200"/>
              <w:rPr>
                <w:rFonts w:hAnsi="宋体"/>
                <w:color w:val="auto"/>
                <w:sz w:val="24"/>
                <w:highlight w:val="none"/>
              </w:rPr>
            </w:pPr>
            <w:r>
              <w:rPr>
                <w:rFonts w:hint="eastAsia" w:hAnsi="宋体"/>
                <w:color w:val="auto"/>
                <w:sz w:val="24"/>
                <w:highlight w:val="none"/>
              </w:rPr>
              <w:t>（3）预测结果</w:t>
            </w:r>
          </w:p>
          <w:p>
            <w:pPr>
              <w:pStyle w:val="7"/>
              <w:spacing w:after="0" w:line="460" w:lineRule="exact"/>
              <w:ind w:firstLine="480" w:firstLineChars="200"/>
              <w:rPr>
                <w:rFonts w:hAnsi="宋体"/>
                <w:color w:val="auto"/>
                <w:sz w:val="24"/>
                <w:highlight w:val="none"/>
              </w:rPr>
            </w:pPr>
            <w:r>
              <w:rPr>
                <w:rFonts w:hint="eastAsia" w:hAnsi="宋体"/>
                <w:color w:val="auto"/>
                <w:sz w:val="24"/>
                <w:highlight w:val="none"/>
              </w:rPr>
              <w:t>本项目</w:t>
            </w:r>
            <w:r>
              <w:rPr>
                <w:rFonts w:hAnsi="宋体"/>
                <w:color w:val="auto"/>
                <w:sz w:val="24"/>
                <w:highlight w:val="none"/>
              </w:rPr>
              <w:t>噪声预测结果见表</w:t>
            </w:r>
            <w:r>
              <w:rPr>
                <w:rFonts w:hint="eastAsia" w:hAnsi="宋体"/>
                <w:color w:val="auto"/>
                <w:sz w:val="24"/>
                <w:highlight w:val="none"/>
              </w:rPr>
              <w:t>7-7</w:t>
            </w:r>
            <w:r>
              <w:rPr>
                <w:rFonts w:hAnsi="宋体"/>
                <w:color w:val="auto"/>
                <w:sz w:val="24"/>
                <w:highlight w:val="none"/>
              </w:rPr>
              <w:t>。</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7-7</w:t>
            </w:r>
            <w:r>
              <w:rPr>
                <w:b/>
                <w:color w:val="auto"/>
                <w:sz w:val="24"/>
                <w:highlight w:val="none"/>
              </w:rPr>
              <w:t xml:space="preserve">  </w:t>
            </w:r>
            <w:r>
              <w:rPr>
                <w:rFonts w:hint="eastAsia"/>
                <w:b/>
                <w:color w:val="auto"/>
                <w:sz w:val="24"/>
                <w:highlight w:val="none"/>
              </w:rPr>
              <w:t>项目</w:t>
            </w:r>
            <w:r>
              <w:rPr>
                <w:b/>
                <w:color w:val="auto"/>
                <w:sz w:val="24"/>
                <w:highlight w:val="none"/>
              </w:rPr>
              <w:t>噪声预测结果     单位：dB（A）</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730"/>
              <w:gridCol w:w="1297"/>
              <w:gridCol w:w="1298"/>
              <w:gridCol w:w="1430"/>
              <w:gridCol w:w="23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1" w:type="dxa"/>
                  <w:vAlign w:val="center"/>
                </w:tcPr>
                <w:p>
                  <w:pPr>
                    <w:widowControl/>
                    <w:jc w:val="center"/>
                    <w:rPr>
                      <w:color w:val="auto"/>
                      <w:kern w:val="0"/>
                      <w:szCs w:val="21"/>
                      <w:highlight w:val="none"/>
                    </w:rPr>
                  </w:pPr>
                  <w:r>
                    <w:rPr>
                      <w:color w:val="auto"/>
                      <w:kern w:val="0"/>
                      <w:szCs w:val="21"/>
                      <w:highlight w:val="none"/>
                    </w:rPr>
                    <w:t>时间段</w:t>
                  </w:r>
                </w:p>
              </w:tc>
              <w:tc>
                <w:tcPr>
                  <w:tcW w:w="1730" w:type="dxa"/>
                  <w:vAlign w:val="center"/>
                </w:tcPr>
                <w:p>
                  <w:pPr>
                    <w:widowControl/>
                    <w:jc w:val="center"/>
                    <w:rPr>
                      <w:color w:val="auto"/>
                      <w:kern w:val="0"/>
                      <w:szCs w:val="21"/>
                      <w:highlight w:val="none"/>
                    </w:rPr>
                  </w:pPr>
                  <w:r>
                    <w:rPr>
                      <w:color w:val="auto"/>
                      <w:kern w:val="0"/>
                      <w:szCs w:val="21"/>
                      <w:highlight w:val="none"/>
                    </w:rPr>
                    <w:t>预测点</w:t>
                  </w:r>
                </w:p>
              </w:tc>
              <w:tc>
                <w:tcPr>
                  <w:tcW w:w="1297" w:type="dxa"/>
                  <w:vAlign w:val="center"/>
                </w:tcPr>
                <w:p>
                  <w:pPr>
                    <w:widowControl/>
                    <w:jc w:val="center"/>
                    <w:rPr>
                      <w:color w:val="auto"/>
                      <w:kern w:val="0"/>
                      <w:szCs w:val="21"/>
                      <w:highlight w:val="none"/>
                    </w:rPr>
                  </w:pPr>
                  <w:r>
                    <w:rPr>
                      <w:rFonts w:hint="eastAsia"/>
                      <w:color w:val="auto"/>
                      <w:kern w:val="0"/>
                      <w:szCs w:val="21"/>
                      <w:highlight w:val="none"/>
                    </w:rPr>
                    <w:t>贡献值</w:t>
                  </w:r>
                </w:p>
              </w:tc>
              <w:tc>
                <w:tcPr>
                  <w:tcW w:w="1298" w:type="dxa"/>
                  <w:vAlign w:val="center"/>
                </w:tcPr>
                <w:p>
                  <w:pPr>
                    <w:widowControl/>
                    <w:jc w:val="center"/>
                    <w:rPr>
                      <w:color w:val="auto"/>
                      <w:kern w:val="0"/>
                      <w:szCs w:val="21"/>
                      <w:highlight w:val="none"/>
                    </w:rPr>
                  </w:pPr>
                  <w:r>
                    <w:rPr>
                      <w:rFonts w:hint="eastAsia"/>
                      <w:color w:val="auto"/>
                      <w:kern w:val="0"/>
                      <w:szCs w:val="21"/>
                      <w:highlight w:val="none"/>
                    </w:rPr>
                    <w:t>背景值</w:t>
                  </w:r>
                </w:p>
              </w:tc>
              <w:tc>
                <w:tcPr>
                  <w:tcW w:w="1430" w:type="dxa"/>
                  <w:vAlign w:val="center"/>
                </w:tcPr>
                <w:p>
                  <w:pPr>
                    <w:widowControl/>
                    <w:jc w:val="center"/>
                    <w:rPr>
                      <w:color w:val="auto"/>
                      <w:kern w:val="0"/>
                      <w:szCs w:val="21"/>
                      <w:highlight w:val="none"/>
                    </w:rPr>
                  </w:pPr>
                  <w:r>
                    <w:rPr>
                      <w:rFonts w:hint="eastAsia"/>
                      <w:color w:val="auto"/>
                      <w:kern w:val="0"/>
                      <w:szCs w:val="21"/>
                      <w:highlight w:val="none"/>
                    </w:rPr>
                    <w:t>预测</w:t>
                  </w:r>
                  <w:r>
                    <w:rPr>
                      <w:color w:val="auto"/>
                      <w:kern w:val="0"/>
                      <w:szCs w:val="21"/>
                      <w:highlight w:val="none"/>
                    </w:rPr>
                    <w:t>值</w:t>
                  </w:r>
                </w:p>
              </w:tc>
              <w:tc>
                <w:tcPr>
                  <w:tcW w:w="2325" w:type="dxa"/>
                  <w:vAlign w:val="center"/>
                </w:tcPr>
                <w:p>
                  <w:pPr>
                    <w:widowControl/>
                    <w:jc w:val="center"/>
                    <w:rPr>
                      <w:color w:val="auto"/>
                      <w:szCs w:val="21"/>
                      <w:highlight w:val="none"/>
                    </w:rPr>
                  </w:pPr>
                  <w:r>
                    <w:rPr>
                      <w:color w:val="auto"/>
                      <w:szCs w:val="21"/>
                      <w:highlight w:val="none"/>
                    </w:rPr>
                    <w:t>GB12348-2008</w:t>
                  </w:r>
                </w:p>
                <w:p>
                  <w:pPr>
                    <w:widowControl/>
                    <w:jc w:val="center"/>
                    <w:rPr>
                      <w:color w:val="auto"/>
                      <w:kern w:val="0"/>
                      <w:szCs w:val="21"/>
                      <w:highlight w:val="none"/>
                    </w:rPr>
                  </w:pPr>
                  <w:r>
                    <w:rPr>
                      <w:rFonts w:hint="eastAsia"/>
                      <w:color w:val="auto"/>
                      <w:kern w:val="0"/>
                      <w:szCs w:val="21"/>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1" w:type="dxa"/>
                  <w:vMerge w:val="restart"/>
                  <w:vAlign w:val="center"/>
                </w:tcPr>
                <w:p>
                  <w:pPr>
                    <w:widowControl/>
                    <w:jc w:val="center"/>
                    <w:rPr>
                      <w:color w:val="auto"/>
                      <w:kern w:val="0"/>
                      <w:szCs w:val="21"/>
                      <w:highlight w:val="none"/>
                    </w:rPr>
                  </w:pPr>
                  <w:r>
                    <w:rPr>
                      <w:color w:val="auto"/>
                      <w:kern w:val="0"/>
                      <w:szCs w:val="21"/>
                      <w:highlight w:val="none"/>
                    </w:rPr>
                    <w:t>昼间</w:t>
                  </w:r>
                </w:p>
              </w:tc>
              <w:tc>
                <w:tcPr>
                  <w:tcW w:w="1730" w:type="dxa"/>
                  <w:vAlign w:val="center"/>
                </w:tcPr>
                <w:p>
                  <w:pPr>
                    <w:widowControl/>
                    <w:jc w:val="center"/>
                    <w:rPr>
                      <w:color w:val="auto"/>
                      <w:kern w:val="0"/>
                      <w:szCs w:val="21"/>
                      <w:highlight w:val="none"/>
                    </w:rPr>
                  </w:pPr>
                  <w:r>
                    <w:rPr>
                      <w:rFonts w:hint="eastAsia"/>
                      <w:color w:val="auto"/>
                      <w:kern w:val="0"/>
                      <w:szCs w:val="21"/>
                      <w:highlight w:val="none"/>
                    </w:rPr>
                    <w:t>厂界南</w:t>
                  </w:r>
                </w:p>
              </w:tc>
              <w:tc>
                <w:tcPr>
                  <w:tcW w:w="1297" w:type="dxa"/>
                  <w:vAlign w:val="center"/>
                </w:tcPr>
                <w:p>
                  <w:pPr>
                    <w:widowControl/>
                    <w:jc w:val="center"/>
                    <w:rPr>
                      <w:color w:val="auto"/>
                      <w:kern w:val="0"/>
                      <w:szCs w:val="21"/>
                      <w:highlight w:val="none"/>
                    </w:rPr>
                  </w:pPr>
                  <w:r>
                    <w:rPr>
                      <w:rFonts w:hint="eastAsia"/>
                      <w:color w:val="auto"/>
                      <w:kern w:val="0"/>
                      <w:szCs w:val="21"/>
                      <w:highlight w:val="none"/>
                    </w:rPr>
                    <w:t>38.4</w:t>
                  </w:r>
                </w:p>
              </w:tc>
              <w:tc>
                <w:tcPr>
                  <w:tcW w:w="1298" w:type="dxa"/>
                  <w:vAlign w:val="center"/>
                </w:tcPr>
                <w:p>
                  <w:pPr>
                    <w:jc w:val="center"/>
                    <w:rPr>
                      <w:color w:val="auto"/>
                      <w:szCs w:val="21"/>
                      <w:highlight w:val="none"/>
                    </w:rPr>
                  </w:pPr>
                  <w:r>
                    <w:rPr>
                      <w:rFonts w:hint="eastAsia"/>
                      <w:color w:val="auto"/>
                      <w:szCs w:val="21"/>
                      <w:highlight w:val="none"/>
                    </w:rPr>
                    <w:t>66.9</w:t>
                  </w:r>
                </w:p>
              </w:tc>
              <w:tc>
                <w:tcPr>
                  <w:tcW w:w="1430" w:type="dxa"/>
                  <w:vAlign w:val="center"/>
                </w:tcPr>
                <w:p>
                  <w:pPr>
                    <w:jc w:val="center"/>
                    <w:rPr>
                      <w:color w:val="auto"/>
                      <w:szCs w:val="21"/>
                      <w:highlight w:val="none"/>
                    </w:rPr>
                  </w:pPr>
                  <w:r>
                    <w:rPr>
                      <w:rFonts w:hint="eastAsia"/>
                      <w:color w:val="auto"/>
                      <w:szCs w:val="21"/>
                      <w:highlight w:val="none"/>
                    </w:rPr>
                    <w:t>66.9</w:t>
                  </w:r>
                </w:p>
              </w:tc>
              <w:tc>
                <w:tcPr>
                  <w:tcW w:w="2325" w:type="dxa"/>
                  <w:vMerge w:val="restart"/>
                  <w:vAlign w:val="center"/>
                </w:tcPr>
                <w:p>
                  <w:pPr>
                    <w:widowControl/>
                    <w:jc w:val="center"/>
                    <w:rPr>
                      <w:color w:val="auto"/>
                      <w:kern w:val="0"/>
                      <w:szCs w:val="21"/>
                      <w:highlight w:val="none"/>
                    </w:rPr>
                  </w:pPr>
                  <w:r>
                    <w:rPr>
                      <w:rFonts w:hint="eastAsia"/>
                      <w:color w:val="auto"/>
                      <w:kern w:val="0"/>
                      <w:szCs w:val="21"/>
                      <w:highlight w:val="none"/>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1" w:type="dxa"/>
                  <w:vMerge w:val="continue"/>
                  <w:vAlign w:val="center"/>
                </w:tcPr>
                <w:p>
                  <w:pPr>
                    <w:widowControl/>
                    <w:jc w:val="center"/>
                    <w:rPr>
                      <w:color w:val="auto"/>
                      <w:kern w:val="0"/>
                      <w:szCs w:val="21"/>
                      <w:highlight w:val="none"/>
                    </w:rPr>
                  </w:pPr>
                </w:p>
              </w:tc>
              <w:tc>
                <w:tcPr>
                  <w:tcW w:w="1730" w:type="dxa"/>
                  <w:vAlign w:val="center"/>
                </w:tcPr>
                <w:p>
                  <w:pPr>
                    <w:widowControl/>
                    <w:jc w:val="center"/>
                    <w:rPr>
                      <w:color w:val="auto"/>
                      <w:kern w:val="0"/>
                      <w:szCs w:val="21"/>
                      <w:highlight w:val="none"/>
                    </w:rPr>
                  </w:pPr>
                  <w:r>
                    <w:rPr>
                      <w:rFonts w:hint="eastAsia"/>
                      <w:color w:val="auto"/>
                      <w:kern w:val="0"/>
                      <w:szCs w:val="21"/>
                      <w:highlight w:val="none"/>
                    </w:rPr>
                    <w:t>厂界西</w:t>
                  </w:r>
                </w:p>
              </w:tc>
              <w:tc>
                <w:tcPr>
                  <w:tcW w:w="1297" w:type="dxa"/>
                  <w:vAlign w:val="center"/>
                </w:tcPr>
                <w:p>
                  <w:pPr>
                    <w:widowControl/>
                    <w:jc w:val="center"/>
                    <w:rPr>
                      <w:color w:val="auto"/>
                      <w:kern w:val="0"/>
                      <w:szCs w:val="21"/>
                      <w:highlight w:val="none"/>
                    </w:rPr>
                  </w:pPr>
                  <w:r>
                    <w:rPr>
                      <w:rFonts w:hint="eastAsia"/>
                      <w:color w:val="auto"/>
                      <w:kern w:val="0"/>
                      <w:szCs w:val="21"/>
                      <w:highlight w:val="none"/>
                    </w:rPr>
                    <w:t>32.9</w:t>
                  </w:r>
                </w:p>
              </w:tc>
              <w:tc>
                <w:tcPr>
                  <w:tcW w:w="1298" w:type="dxa"/>
                  <w:vAlign w:val="center"/>
                </w:tcPr>
                <w:p>
                  <w:pPr>
                    <w:jc w:val="center"/>
                    <w:rPr>
                      <w:color w:val="auto"/>
                      <w:szCs w:val="21"/>
                      <w:highlight w:val="none"/>
                    </w:rPr>
                  </w:pPr>
                  <w:r>
                    <w:rPr>
                      <w:rFonts w:hint="eastAsia"/>
                      <w:color w:val="auto"/>
                      <w:szCs w:val="21"/>
                      <w:highlight w:val="none"/>
                    </w:rPr>
                    <w:t>63.3</w:t>
                  </w:r>
                </w:p>
              </w:tc>
              <w:tc>
                <w:tcPr>
                  <w:tcW w:w="1430" w:type="dxa"/>
                  <w:vAlign w:val="center"/>
                </w:tcPr>
                <w:p>
                  <w:pPr>
                    <w:jc w:val="center"/>
                    <w:rPr>
                      <w:color w:val="auto"/>
                      <w:szCs w:val="21"/>
                      <w:highlight w:val="none"/>
                    </w:rPr>
                  </w:pPr>
                  <w:r>
                    <w:rPr>
                      <w:rFonts w:hint="eastAsia"/>
                      <w:color w:val="auto"/>
                      <w:szCs w:val="21"/>
                      <w:highlight w:val="none"/>
                    </w:rPr>
                    <w:t>63.3</w:t>
                  </w:r>
                </w:p>
              </w:tc>
              <w:tc>
                <w:tcPr>
                  <w:tcW w:w="2325" w:type="dxa"/>
                  <w:vMerge w:val="continue"/>
                  <w:vAlign w:val="center"/>
                </w:tcPr>
                <w:p>
                  <w:pPr>
                    <w:widowControl/>
                    <w:jc w:val="center"/>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1" w:type="dxa"/>
                  <w:vMerge w:val="continue"/>
                  <w:vAlign w:val="center"/>
                </w:tcPr>
                <w:p>
                  <w:pPr>
                    <w:widowControl/>
                    <w:jc w:val="center"/>
                    <w:rPr>
                      <w:color w:val="auto"/>
                      <w:kern w:val="0"/>
                      <w:szCs w:val="21"/>
                      <w:highlight w:val="none"/>
                    </w:rPr>
                  </w:pPr>
                </w:p>
              </w:tc>
              <w:tc>
                <w:tcPr>
                  <w:tcW w:w="1730" w:type="dxa"/>
                  <w:vAlign w:val="center"/>
                </w:tcPr>
                <w:p>
                  <w:pPr>
                    <w:widowControl/>
                    <w:jc w:val="center"/>
                    <w:rPr>
                      <w:color w:val="auto"/>
                      <w:kern w:val="0"/>
                      <w:szCs w:val="21"/>
                      <w:highlight w:val="none"/>
                    </w:rPr>
                  </w:pPr>
                  <w:r>
                    <w:rPr>
                      <w:rFonts w:hint="eastAsia"/>
                      <w:color w:val="auto"/>
                      <w:kern w:val="0"/>
                      <w:szCs w:val="21"/>
                      <w:highlight w:val="none"/>
                    </w:rPr>
                    <w:t>厂界北</w:t>
                  </w:r>
                </w:p>
              </w:tc>
              <w:tc>
                <w:tcPr>
                  <w:tcW w:w="1297" w:type="dxa"/>
                  <w:vAlign w:val="center"/>
                </w:tcPr>
                <w:p>
                  <w:pPr>
                    <w:widowControl/>
                    <w:jc w:val="center"/>
                    <w:rPr>
                      <w:color w:val="auto"/>
                      <w:kern w:val="0"/>
                      <w:szCs w:val="21"/>
                      <w:highlight w:val="none"/>
                    </w:rPr>
                  </w:pPr>
                  <w:r>
                    <w:rPr>
                      <w:rFonts w:hint="eastAsia"/>
                      <w:color w:val="auto"/>
                      <w:kern w:val="0"/>
                      <w:szCs w:val="21"/>
                      <w:highlight w:val="none"/>
                    </w:rPr>
                    <w:t>35.3</w:t>
                  </w:r>
                </w:p>
              </w:tc>
              <w:tc>
                <w:tcPr>
                  <w:tcW w:w="1298" w:type="dxa"/>
                  <w:vAlign w:val="center"/>
                </w:tcPr>
                <w:p>
                  <w:pPr>
                    <w:jc w:val="center"/>
                    <w:rPr>
                      <w:color w:val="auto"/>
                      <w:szCs w:val="21"/>
                      <w:highlight w:val="none"/>
                    </w:rPr>
                  </w:pPr>
                  <w:r>
                    <w:rPr>
                      <w:rFonts w:hint="eastAsia"/>
                      <w:color w:val="auto"/>
                      <w:szCs w:val="21"/>
                      <w:highlight w:val="none"/>
                    </w:rPr>
                    <w:t>51.2</w:t>
                  </w:r>
                </w:p>
              </w:tc>
              <w:tc>
                <w:tcPr>
                  <w:tcW w:w="1430" w:type="dxa"/>
                  <w:vAlign w:val="center"/>
                </w:tcPr>
                <w:p>
                  <w:pPr>
                    <w:jc w:val="center"/>
                    <w:rPr>
                      <w:color w:val="auto"/>
                      <w:szCs w:val="21"/>
                      <w:highlight w:val="none"/>
                    </w:rPr>
                  </w:pPr>
                  <w:r>
                    <w:rPr>
                      <w:rFonts w:hint="eastAsia"/>
                      <w:color w:val="auto"/>
                      <w:szCs w:val="21"/>
                      <w:highlight w:val="none"/>
                    </w:rPr>
                    <w:t>51.3</w:t>
                  </w:r>
                </w:p>
              </w:tc>
              <w:tc>
                <w:tcPr>
                  <w:tcW w:w="2325" w:type="dxa"/>
                  <w:vMerge w:val="continue"/>
                  <w:vAlign w:val="center"/>
                </w:tcPr>
                <w:p>
                  <w:pPr>
                    <w:widowControl/>
                    <w:jc w:val="center"/>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1" w:type="dxa"/>
                  <w:vMerge w:val="continue"/>
                  <w:vAlign w:val="center"/>
                </w:tcPr>
                <w:p>
                  <w:pPr>
                    <w:widowControl/>
                    <w:jc w:val="center"/>
                    <w:rPr>
                      <w:color w:val="auto"/>
                      <w:kern w:val="0"/>
                      <w:szCs w:val="21"/>
                      <w:highlight w:val="none"/>
                    </w:rPr>
                  </w:pPr>
                </w:p>
              </w:tc>
              <w:tc>
                <w:tcPr>
                  <w:tcW w:w="1730" w:type="dxa"/>
                  <w:vAlign w:val="center"/>
                </w:tcPr>
                <w:p>
                  <w:pPr>
                    <w:widowControl/>
                    <w:jc w:val="center"/>
                    <w:rPr>
                      <w:color w:val="auto"/>
                      <w:kern w:val="0"/>
                      <w:szCs w:val="21"/>
                      <w:highlight w:val="none"/>
                    </w:rPr>
                  </w:pPr>
                  <w:r>
                    <w:rPr>
                      <w:rFonts w:hint="eastAsia"/>
                      <w:color w:val="auto"/>
                      <w:kern w:val="0"/>
                      <w:szCs w:val="21"/>
                      <w:highlight w:val="none"/>
                    </w:rPr>
                    <w:t>厂界东</w:t>
                  </w:r>
                </w:p>
              </w:tc>
              <w:tc>
                <w:tcPr>
                  <w:tcW w:w="1297" w:type="dxa"/>
                  <w:vAlign w:val="center"/>
                </w:tcPr>
                <w:p>
                  <w:pPr>
                    <w:widowControl/>
                    <w:jc w:val="center"/>
                    <w:rPr>
                      <w:color w:val="auto"/>
                      <w:kern w:val="0"/>
                      <w:szCs w:val="21"/>
                      <w:highlight w:val="none"/>
                    </w:rPr>
                  </w:pPr>
                  <w:r>
                    <w:rPr>
                      <w:rFonts w:hint="eastAsia"/>
                      <w:color w:val="auto"/>
                      <w:kern w:val="0"/>
                      <w:szCs w:val="21"/>
                      <w:highlight w:val="none"/>
                    </w:rPr>
                    <w:t>42.6</w:t>
                  </w:r>
                </w:p>
              </w:tc>
              <w:tc>
                <w:tcPr>
                  <w:tcW w:w="1298" w:type="dxa"/>
                  <w:vAlign w:val="center"/>
                </w:tcPr>
                <w:p>
                  <w:pPr>
                    <w:jc w:val="center"/>
                    <w:rPr>
                      <w:color w:val="auto"/>
                      <w:szCs w:val="21"/>
                      <w:highlight w:val="none"/>
                    </w:rPr>
                  </w:pPr>
                  <w:r>
                    <w:rPr>
                      <w:rFonts w:hint="eastAsia"/>
                      <w:color w:val="auto"/>
                      <w:szCs w:val="21"/>
                      <w:highlight w:val="none"/>
                    </w:rPr>
                    <w:t>55.1</w:t>
                  </w:r>
                </w:p>
              </w:tc>
              <w:tc>
                <w:tcPr>
                  <w:tcW w:w="1430" w:type="dxa"/>
                  <w:vAlign w:val="center"/>
                </w:tcPr>
                <w:p>
                  <w:pPr>
                    <w:jc w:val="center"/>
                    <w:rPr>
                      <w:color w:val="auto"/>
                      <w:szCs w:val="21"/>
                      <w:highlight w:val="none"/>
                    </w:rPr>
                  </w:pPr>
                  <w:r>
                    <w:rPr>
                      <w:rFonts w:hint="eastAsia"/>
                      <w:color w:val="auto"/>
                      <w:szCs w:val="21"/>
                      <w:highlight w:val="none"/>
                    </w:rPr>
                    <w:t>55.3</w:t>
                  </w:r>
                </w:p>
              </w:tc>
              <w:tc>
                <w:tcPr>
                  <w:tcW w:w="2325" w:type="dxa"/>
                  <w:vAlign w:val="center"/>
                </w:tcPr>
                <w:p>
                  <w:pPr>
                    <w:widowControl/>
                    <w:jc w:val="center"/>
                    <w:rPr>
                      <w:color w:val="auto"/>
                      <w:kern w:val="0"/>
                      <w:szCs w:val="21"/>
                      <w:highlight w:val="none"/>
                    </w:rPr>
                  </w:pPr>
                  <w:r>
                    <w:rPr>
                      <w:rFonts w:hint="eastAsia"/>
                      <w:color w:val="auto"/>
                      <w:kern w:val="0"/>
                      <w:szCs w:val="21"/>
                      <w:highlight w:val="none"/>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1" w:type="dxa"/>
                  <w:vMerge w:val="restart"/>
                  <w:vAlign w:val="center"/>
                </w:tcPr>
                <w:p>
                  <w:pPr>
                    <w:widowControl/>
                    <w:jc w:val="center"/>
                    <w:rPr>
                      <w:color w:val="auto"/>
                      <w:kern w:val="0"/>
                      <w:szCs w:val="21"/>
                      <w:highlight w:val="none"/>
                    </w:rPr>
                  </w:pPr>
                  <w:r>
                    <w:rPr>
                      <w:color w:val="auto"/>
                      <w:kern w:val="0"/>
                      <w:szCs w:val="21"/>
                      <w:highlight w:val="none"/>
                    </w:rPr>
                    <w:t>夜间</w:t>
                  </w:r>
                </w:p>
              </w:tc>
              <w:tc>
                <w:tcPr>
                  <w:tcW w:w="1730" w:type="dxa"/>
                  <w:vAlign w:val="center"/>
                </w:tcPr>
                <w:p>
                  <w:pPr>
                    <w:widowControl/>
                    <w:jc w:val="center"/>
                    <w:rPr>
                      <w:color w:val="auto"/>
                      <w:kern w:val="0"/>
                      <w:szCs w:val="21"/>
                      <w:highlight w:val="none"/>
                    </w:rPr>
                  </w:pPr>
                  <w:r>
                    <w:rPr>
                      <w:rFonts w:hint="eastAsia"/>
                      <w:color w:val="auto"/>
                      <w:kern w:val="0"/>
                      <w:szCs w:val="21"/>
                      <w:highlight w:val="none"/>
                    </w:rPr>
                    <w:t>厂界南</w:t>
                  </w:r>
                </w:p>
              </w:tc>
              <w:tc>
                <w:tcPr>
                  <w:tcW w:w="1297" w:type="dxa"/>
                  <w:vAlign w:val="center"/>
                </w:tcPr>
                <w:p>
                  <w:pPr>
                    <w:widowControl/>
                    <w:jc w:val="center"/>
                    <w:rPr>
                      <w:color w:val="auto"/>
                      <w:kern w:val="0"/>
                      <w:szCs w:val="21"/>
                      <w:highlight w:val="none"/>
                    </w:rPr>
                  </w:pPr>
                  <w:r>
                    <w:rPr>
                      <w:rFonts w:hint="eastAsia"/>
                      <w:color w:val="auto"/>
                      <w:kern w:val="0"/>
                      <w:szCs w:val="21"/>
                      <w:highlight w:val="none"/>
                    </w:rPr>
                    <w:t>38.4</w:t>
                  </w:r>
                </w:p>
              </w:tc>
              <w:tc>
                <w:tcPr>
                  <w:tcW w:w="1298" w:type="dxa"/>
                  <w:vAlign w:val="center"/>
                </w:tcPr>
                <w:p>
                  <w:pPr>
                    <w:jc w:val="center"/>
                    <w:rPr>
                      <w:color w:val="auto"/>
                      <w:szCs w:val="21"/>
                      <w:highlight w:val="none"/>
                    </w:rPr>
                  </w:pPr>
                  <w:r>
                    <w:rPr>
                      <w:rFonts w:hint="eastAsia"/>
                      <w:color w:val="auto"/>
                      <w:szCs w:val="21"/>
                      <w:highlight w:val="none"/>
                    </w:rPr>
                    <w:t>49.4</w:t>
                  </w:r>
                </w:p>
              </w:tc>
              <w:tc>
                <w:tcPr>
                  <w:tcW w:w="1430" w:type="dxa"/>
                  <w:vAlign w:val="center"/>
                </w:tcPr>
                <w:p>
                  <w:pPr>
                    <w:jc w:val="center"/>
                    <w:rPr>
                      <w:color w:val="auto"/>
                      <w:szCs w:val="21"/>
                      <w:highlight w:val="none"/>
                    </w:rPr>
                  </w:pPr>
                  <w:r>
                    <w:rPr>
                      <w:rFonts w:hint="eastAsia"/>
                      <w:color w:val="auto"/>
                      <w:szCs w:val="21"/>
                      <w:highlight w:val="none"/>
                    </w:rPr>
                    <w:t>49.7</w:t>
                  </w:r>
                </w:p>
              </w:tc>
              <w:tc>
                <w:tcPr>
                  <w:tcW w:w="2325" w:type="dxa"/>
                  <w:vMerge w:val="restart"/>
                  <w:vAlign w:val="center"/>
                </w:tcPr>
                <w:p>
                  <w:pPr>
                    <w:widowControl/>
                    <w:jc w:val="center"/>
                    <w:rPr>
                      <w:color w:val="auto"/>
                      <w:kern w:val="0"/>
                      <w:szCs w:val="21"/>
                      <w:highlight w:val="none"/>
                    </w:rPr>
                  </w:pPr>
                  <w:r>
                    <w:rPr>
                      <w:rFonts w:hint="eastAsia"/>
                      <w:color w:val="auto"/>
                      <w:kern w:val="0"/>
                      <w:szCs w:val="21"/>
                      <w:highlight w:val="none"/>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1" w:type="dxa"/>
                  <w:vMerge w:val="continue"/>
                  <w:vAlign w:val="center"/>
                </w:tcPr>
                <w:p>
                  <w:pPr>
                    <w:widowControl/>
                    <w:jc w:val="center"/>
                    <w:rPr>
                      <w:color w:val="auto"/>
                      <w:kern w:val="0"/>
                      <w:szCs w:val="21"/>
                      <w:highlight w:val="none"/>
                    </w:rPr>
                  </w:pPr>
                </w:p>
              </w:tc>
              <w:tc>
                <w:tcPr>
                  <w:tcW w:w="1730" w:type="dxa"/>
                  <w:vAlign w:val="center"/>
                </w:tcPr>
                <w:p>
                  <w:pPr>
                    <w:widowControl/>
                    <w:jc w:val="center"/>
                    <w:rPr>
                      <w:color w:val="auto"/>
                      <w:kern w:val="0"/>
                      <w:szCs w:val="21"/>
                      <w:highlight w:val="none"/>
                    </w:rPr>
                  </w:pPr>
                  <w:r>
                    <w:rPr>
                      <w:rFonts w:hint="eastAsia"/>
                      <w:color w:val="auto"/>
                      <w:kern w:val="0"/>
                      <w:szCs w:val="21"/>
                      <w:highlight w:val="none"/>
                    </w:rPr>
                    <w:t>厂界西</w:t>
                  </w:r>
                </w:p>
              </w:tc>
              <w:tc>
                <w:tcPr>
                  <w:tcW w:w="1297" w:type="dxa"/>
                  <w:vAlign w:val="center"/>
                </w:tcPr>
                <w:p>
                  <w:pPr>
                    <w:widowControl/>
                    <w:jc w:val="center"/>
                    <w:rPr>
                      <w:color w:val="auto"/>
                      <w:kern w:val="0"/>
                      <w:szCs w:val="21"/>
                      <w:highlight w:val="none"/>
                    </w:rPr>
                  </w:pPr>
                  <w:r>
                    <w:rPr>
                      <w:rFonts w:hint="eastAsia"/>
                      <w:color w:val="auto"/>
                      <w:kern w:val="0"/>
                      <w:szCs w:val="21"/>
                      <w:highlight w:val="none"/>
                    </w:rPr>
                    <w:t>32.9</w:t>
                  </w:r>
                </w:p>
              </w:tc>
              <w:tc>
                <w:tcPr>
                  <w:tcW w:w="1298" w:type="dxa"/>
                  <w:vAlign w:val="center"/>
                </w:tcPr>
                <w:p>
                  <w:pPr>
                    <w:jc w:val="center"/>
                    <w:rPr>
                      <w:color w:val="auto"/>
                      <w:szCs w:val="21"/>
                      <w:highlight w:val="none"/>
                    </w:rPr>
                  </w:pPr>
                  <w:r>
                    <w:rPr>
                      <w:rFonts w:hint="eastAsia"/>
                      <w:color w:val="auto"/>
                      <w:szCs w:val="21"/>
                      <w:highlight w:val="none"/>
                    </w:rPr>
                    <w:t>47.3</w:t>
                  </w:r>
                </w:p>
              </w:tc>
              <w:tc>
                <w:tcPr>
                  <w:tcW w:w="1430" w:type="dxa"/>
                  <w:vAlign w:val="center"/>
                </w:tcPr>
                <w:p>
                  <w:pPr>
                    <w:jc w:val="center"/>
                    <w:rPr>
                      <w:color w:val="auto"/>
                      <w:szCs w:val="21"/>
                      <w:highlight w:val="none"/>
                    </w:rPr>
                  </w:pPr>
                  <w:r>
                    <w:rPr>
                      <w:rFonts w:hint="eastAsia"/>
                      <w:color w:val="auto"/>
                      <w:szCs w:val="21"/>
                      <w:highlight w:val="none"/>
                    </w:rPr>
                    <w:t>47.5</w:t>
                  </w:r>
                </w:p>
              </w:tc>
              <w:tc>
                <w:tcPr>
                  <w:tcW w:w="2325" w:type="dxa"/>
                  <w:vMerge w:val="continue"/>
                  <w:vAlign w:val="center"/>
                </w:tcPr>
                <w:p>
                  <w:pPr>
                    <w:widowControl/>
                    <w:jc w:val="center"/>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1" w:type="dxa"/>
                  <w:vMerge w:val="continue"/>
                  <w:vAlign w:val="center"/>
                </w:tcPr>
                <w:p>
                  <w:pPr>
                    <w:widowControl/>
                    <w:jc w:val="center"/>
                    <w:rPr>
                      <w:color w:val="auto"/>
                      <w:kern w:val="0"/>
                      <w:szCs w:val="21"/>
                      <w:highlight w:val="none"/>
                    </w:rPr>
                  </w:pPr>
                </w:p>
              </w:tc>
              <w:tc>
                <w:tcPr>
                  <w:tcW w:w="1730" w:type="dxa"/>
                  <w:vAlign w:val="center"/>
                </w:tcPr>
                <w:p>
                  <w:pPr>
                    <w:widowControl/>
                    <w:jc w:val="center"/>
                    <w:rPr>
                      <w:color w:val="auto"/>
                      <w:kern w:val="0"/>
                      <w:szCs w:val="21"/>
                      <w:highlight w:val="none"/>
                    </w:rPr>
                  </w:pPr>
                  <w:r>
                    <w:rPr>
                      <w:rFonts w:hint="eastAsia"/>
                      <w:color w:val="auto"/>
                      <w:kern w:val="0"/>
                      <w:szCs w:val="21"/>
                      <w:highlight w:val="none"/>
                    </w:rPr>
                    <w:t>厂界北</w:t>
                  </w:r>
                </w:p>
              </w:tc>
              <w:tc>
                <w:tcPr>
                  <w:tcW w:w="1297" w:type="dxa"/>
                  <w:vAlign w:val="center"/>
                </w:tcPr>
                <w:p>
                  <w:pPr>
                    <w:widowControl/>
                    <w:jc w:val="center"/>
                    <w:rPr>
                      <w:color w:val="auto"/>
                      <w:kern w:val="0"/>
                      <w:szCs w:val="21"/>
                      <w:highlight w:val="none"/>
                    </w:rPr>
                  </w:pPr>
                  <w:r>
                    <w:rPr>
                      <w:rFonts w:hint="eastAsia"/>
                      <w:color w:val="auto"/>
                      <w:kern w:val="0"/>
                      <w:szCs w:val="21"/>
                      <w:highlight w:val="none"/>
                    </w:rPr>
                    <w:t>35.3</w:t>
                  </w:r>
                </w:p>
              </w:tc>
              <w:tc>
                <w:tcPr>
                  <w:tcW w:w="1298" w:type="dxa"/>
                  <w:vAlign w:val="center"/>
                </w:tcPr>
                <w:p>
                  <w:pPr>
                    <w:jc w:val="center"/>
                    <w:rPr>
                      <w:color w:val="auto"/>
                      <w:szCs w:val="21"/>
                      <w:highlight w:val="none"/>
                    </w:rPr>
                  </w:pPr>
                  <w:r>
                    <w:rPr>
                      <w:rFonts w:hint="eastAsia"/>
                      <w:color w:val="auto"/>
                      <w:szCs w:val="21"/>
                      <w:highlight w:val="none"/>
                    </w:rPr>
                    <w:t>41.3</w:t>
                  </w:r>
                </w:p>
              </w:tc>
              <w:tc>
                <w:tcPr>
                  <w:tcW w:w="1430" w:type="dxa"/>
                  <w:vAlign w:val="center"/>
                </w:tcPr>
                <w:p>
                  <w:pPr>
                    <w:jc w:val="center"/>
                    <w:rPr>
                      <w:color w:val="auto"/>
                      <w:szCs w:val="21"/>
                      <w:highlight w:val="none"/>
                    </w:rPr>
                  </w:pPr>
                  <w:r>
                    <w:rPr>
                      <w:rFonts w:hint="eastAsia"/>
                      <w:color w:val="auto"/>
                      <w:szCs w:val="21"/>
                      <w:highlight w:val="none"/>
                    </w:rPr>
                    <w:t>42.3</w:t>
                  </w:r>
                </w:p>
              </w:tc>
              <w:tc>
                <w:tcPr>
                  <w:tcW w:w="2325" w:type="dxa"/>
                  <w:vMerge w:val="continue"/>
                  <w:vAlign w:val="center"/>
                </w:tcPr>
                <w:p>
                  <w:pPr>
                    <w:widowControl/>
                    <w:jc w:val="center"/>
                    <w:rPr>
                      <w:color w:val="auto"/>
                      <w:kern w:val="0"/>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301" w:type="dxa"/>
                  <w:vMerge w:val="continue"/>
                  <w:vAlign w:val="center"/>
                </w:tcPr>
                <w:p>
                  <w:pPr>
                    <w:widowControl/>
                    <w:jc w:val="center"/>
                    <w:rPr>
                      <w:color w:val="auto"/>
                      <w:kern w:val="0"/>
                      <w:szCs w:val="21"/>
                      <w:highlight w:val="none"/>
                    </w:rPr>
                  </w:pPr>
                </w:p>
              </w:tc>
              <w:tc>
                <w:tcPr>
                  <w:tcW w:w="1730" w:type="dxa"/>
                  <w:vAlign w:val="center"/>
                </w:tcPr>
                <w:p>
                  <w:pPr>
                    <w:widowControl/>
                    <w:jc w:val="center"/>
                    <w:rPr>
                      <w:color w:val="auto"/>
                      <w:kern w:val="0"/>
                      <w:szCs w:val="21"/>
                      <w:highlight w:val="none"/>
                    </w:rPr>
                  </w:pPr>
                  <w:r>
                    <w:rPr>
                      <w:rFonts w:hint="eastAsia"/>
                      <w:color w:val="auto"/>
                      <w:kern w:val="0"/>
                      <w:szCs w:val="21"/>
                      <w:highlight w:val="none"/>
                    </w:rPr>
                    <w:t>厂界东</w:t>
                  </w:r>
                </w:p>
              </w:tc>
              <w:tc>
                <w:tcPr>
                  <w:tcW w:w="1297" w:type="dxa"/>
                  <w:vAlign w:val="center"/>
                </w:tcPr>
                <w:p>
                  <w:pPr>
                    <w:widowControl/>
                    <w:jc w:val="center"/>
                    <w:rPr>
                      <w:color w:val="auto"/>
                      <w:kern w:val="0"/>
                      <w:szCs w:val="21"/>
                      <w:highlight w:val="none"/>
                    </w:rPr>
                  </w:pPr>
                  <w:r>
                    <w:rPr>
                      <w:rFonts w:hint="eastAsia"/>
                      <w:color w:val="auto"/>
                      <w:kern w:val="0"/>
                      <w:szCs w:val="21"/>
                      <w:highlight w:val="none"/>
                    </w:rPr>
                    <w:t>42.6</w:t>
                  </w:r>
                </w:p>
              </w:tc>
              <w:tc>
                <w:tcPr>
                  <w:tcW w:w="1298" w:type="dxa"/>
                  <w:vAlign w:val="center"/>
                </w:tcPr>
                <w:p>
                  <w:pPr>
                    <w:jc w:val="center"/>
                    <w:rPr>
                      <w:color w:val="auto"/>
                      <w:szCs w:val="21"/>
                      <w:highlight w:val="none"/>
                    </w:rPr>
                  </w:pPr>
                  <w:r>
                    <w:rPr>
                      <w:rFonts w:hint="eastAsia"/>
                      <w:color w:val="auto"/>
                      <w:szCs w:val="21"/>
                      <w:highlight w:val="none"/>
                    </w:rPr>
                    <w:t>45.2</w:t>
                  </w:r>
                </w:p>
              </w:tc>
              <w:tc>
                <w:tcPr>
                  <w:tcW w:w="1430" w:type="dxa"/>
                  <w:vAlign w:val="center"/>
                </w:tcPr>
                <w:p>
                  <w:pPr>
                    <w:jc w:val="center"/>
                    <w:rPr>
                      <w:color w:val="auto"/>
                      <w:szCs w:val="21"/>
                      <w:highlight w:val="none"/>
                    </w:rPr>
                  </w:pPr>
                  <w:r>
                    <w:rPr>
                      <w:rFonts w:hint="eastAsia"/>
                      <w:color w:val="auto"/>
                      <w:szCs w:val="21"/>
                      <w:highlight w:val="none"/>
                    </w:rPr>
                    <w:t>47.1</w:t>
                  </w:r>
                </w:p>
              </w:tc>
              <w:tc>
                <w:tcPr>
                  <w:tcW w:w="2325" w:type="dxa"/>
                  <w:vMerge w:val="continue"/>
                  <w:vAlign w:val="center"/>
                </w:tcPr>
                <w:p>
                  <w:pPr>
                    <w:widowControl/>
                    <w:jc w:val="center"/>
                    <w:rPr>
                      <w:color w:val="auto"/>
                      <w:kern w:val="0"/>
                      <w:szCs w:val="21"/>
                      <w:highlight w:val="none"/>
                    </w:rPr>
                  </w:pPr>
                </w:p>
              </w:tc>
            </w:tr>
          </w:tbl>
          <w:p>
            <w:pPr>
              <w:pStyle w:val="7"/>
              <w:spacing w:after="0" w:line="460" w:lineRule="exact"/>
              <w:ind w:firstLine="480" w:firstLineChars="200"/>
              <w:rPr>
                <w:rFonts w:hAnsi="宋体"/>
                <w:color w:val="auto"/>
                <w:sz w:val="24"/>
                <w:highlight w:val="none"/>
              </w:rPr>
            </w:pPr>
            <w:r>
              <w:rPr>
                <w:rFonts w:hint="eastAsia" w:hAnsi="宋体"/>
                <w:color w:val="auto"/>
                <w:sz w:val="24"/>
                <w:highlight w:val="none"/>
              </w:rPr>
              <w:t>从上表预测预测结果可知，运营期项目南厂界、西厂界以及北厂界昼夜噪声满足《</w:t>
            </w:r>
            <w:r>
              <w:rPr>
                <w:rFonts w:hAnsi="宋体"/>
                <w:color w:val="auto"/>
                <w:sz w:val="24"/>
                <w:highlight w:val="none"/>
              </w:rPr>
              <w:t>工业企业厂界噪声排放标准》（GB12348-2008）</w:t>
            </w:r>
            <w:r>
              <w:rPr>
                <w:rFonts w:hint="eastAsia" w:hAnsi="宋体"/>
                <w:color w:val="auto"/>
                <w:sz w:val="24"/>
                <w:highlight w:val="none"/>
              </w:rPr>
              <w:t>4</w:t>
            </w:r>
            <w:r>
              <w:rPr>
                <w:rFonts w:hAnsi="宋体"/>
                <w:color w:val="auto"/>
                <w:sz w:val="24"/>
                <w:highlight w:val="none"/>
              </w:rPr>
              <w:t>类</w:t>
            </w:r>
            <w:r>
              <w:rPr>
                <w:rFonts w:hint="eastAsia" w:hAnsi="宋体"/>
                <w:color w:val="auto"/>
                <w:sz w:val="24"/>
                <w:highlight w:val="none"/>
              </w:rPr>
              <w:t>标准限值要求，东厂界昼夜噪声满足该标准中的3</w:t>
            </w:r>
            <w:r>
              <w:rPr>
                <w:rFonts w:hAnsi="宋体"/>
                <w:color w:val="auto"/>
                <w:sz w:val="24"/>
                <w:highlight w:val="none"/>
              </w:rPr>
              <w:t>类</w:t>
            </w:r>
            <w:r>
              <w:rPr>
                <w:rFonts w:hint="eastAsia" w:hAnsi="宋体"/>
                <w:color w:val="auto"/>
                <w:sz w:val="24"/>
                <w:highlight w:val="none"/>
              </w:rPr>
              <w:t>标准限值要求。</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7.2.4 固废</w:t>
            </w:r>
          </w:p>
          <w:p>
            <w:pPr>
              <w:spacing w:line="360" w:lineRule="auto"/>
              <w:ind w:firstLine="504" w:firstLineChars="200"/>
              <w:rPr>
                <w:color w:val="auto"/>
                <w:spacing w:val="6"/>
                <w:sz w:val="24"/>
                <w:highlight w:val="none"/>
              </w:rPr>
            </w:pPr>
            <w:r>
              <w:rPr>
                <w:rFonts w:hint="eastAsia"/>
                <w:color w:val="auto"/>
                <w:spacing w:val="6"/>
                <w:sz w:val="24"/>
                <w:highlight w:val="none"/>
              </w:rPr>
              <w:t>本项目固废产生及处理情况见下表7-8。</w:t>
            </w:r>
          </w:p>
          <w:p>
            <w:pPr>
              <w:snapToGrid w:val="0"/>
              <w:spacing w:line="360" w:lineRule="auto"/>
              <w:jc w:val="center"/>
              <w:rPr>
                <w:b/>
                <w:color w:val="auto"/>
                <w:sz w:val="24"/>
                <w:highlight w:val="none"/>
              </w:rPr>
            </w:pPr>
            <w:r>
              <w:rPr>
                <w:rFonts w:hint="eastAsia"/>
                <w:b/>
                <w:color w:val="auto"/>
                <w:sz w:val="24"/>
                <w:highlight w:val="none"/>
              </w:rPr>
              <w:t>表7-8  项目固体废弃物产生及处理情况一览表</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056"/>
              <w:gridCol w:w="3121"/>
              <w:gridCol w:w="44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949" w:type="dxa"/>
                  <w:gridSpan w:val="3"/>
                  <w:vAlign w:val="center"/>
                </w:tcPr>
                <w:p>
                  <w:pPr>
                    <w:widowControl/>
                    <w:jc w:val="center"/>
                    <w:rPr>
                      <w:color w:val="auto"/>
                      <w:kern w:val="0"/>
                      <w:szCs w:val="21"/>
                      <w:highlight w:val="none"/>
                    </w:rPr>
                  </w:pPr>
                  <w:r>
                    <w:rPr>
                      <w:rFonts w:hint="eastAsia"/>
                      <w:color w:val="auto"/>
                      <w:kern w:val="0"/>
                      <w:szCs w:val="21"/>
                      <w:highlight w:val="none"/>
                    </w:rPr>
                    <w:t>固体废弃物</w:t>
                  </w:r>
                </w:p>
              </w:tc>
              <w:tc>
                <w:tcPr>
                  <w:tcW w:w="4432" w:type="dxa"/>
                  <w:vMerge w:val="restart"/>
                  <w:vAlign w:val="center"/>
                </w:tcPr>
                <w:p>
                  <w:pPr>
                    <w:widowControl/>
                    <w:jc w:val="center"/>
                    <w:rPr>
                      <w:color w:val="auto"/>
                      <w:kern w:val="0"/>
                      <w:szCs w:val="21"/>
                      <w:highlight w:val="none"/>
                    </w:rPr>
                  </w:pPr>
                  <w:r>
                    <w:rPr>
                      <w:rFonts w:hint="eastAsia"/>
                      <w:color w:val="auto"/>
                      <w:kern w:val="0"/>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28" w:type="dxa"/>
                  <w:gridSpan w:val="2"/>
                  <w:vAlign w:val="center"/>
                </w:tcPr>
                <w:p>
                  <w:pPr>
                    <w:widowControl/>
                    <w:jc w:val="center"/>
                    <w:rPr>
                      <w:color w:val="auto"/>
                      <w:kern w:val="0"/>
                      <w:szCs w:val="21"/>
                      <w:highlight w:val="none"/>
                    </w:rPr>
                  </w:pPr>
                  <w:r>
                    <w:rPr>
                      <w:rFonts w:hint="eastAsia"/>
                      <w:color w:val="auto"/>
                      <w:kern w:val="0"/>
                      <w:szCs w:val="21"/>
                      <w:highlight w:val="none"/>
                    </w:rPr>
                    <w:t>性质</w:t>
                  </w:r>
                </w:p>
              </w:tc>
              <w:tc>
                <w:tcPr>
                  <w:tcW w:w="3121" w:type="dxa"/>
                  <w:vAlign w:val="center"/>
                </w:tcPr>
                <w:p>
                  <w:pPr>
                    <w:widowControl/>
                    <w:jc w:val="center"/>
                    <w:rPr>
                      <w:color w:val="auto"/>
                      <w:kern w:val="0"/>
                      <w:szCs w:val="21"/>
                      <w:highlight w:val="none"/>
                    </w:rPr>
                  </w:pPr>
                  <w:r>
                    <w:rPr>
                      <w:rFonts w:hint="eastAsia"/>
                      <w:color w:val="auto"/>
                      <w:kern w:val="0"/>
                      <w:szCs w:val="21"/>
                      <w:highlight w:val="none"/>
                    </w:rPr>
                    <w:t>名称</w:t>
                  </w:r>
                </w:p>
              </w:tc>
              <w:tc>
                <w:tcPr>
                  <w:tcW w:w="4432" w:type="dxa"/>
                  <w:vMerge w:val="continue"/>
                  <w:vAlign w:val="center"/>
                </w:tcPr>
                <w:p>
                  <w:pPr>
                    <w:widowControl/>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2" w:type="dxa"/>
                  <w:vMerge w:val="restart"/>
                  <w:vAlign w:val="center"/>
                </w:tcPr>
                <w:p>
                  <w:pPr>
                    <w:widowControl/>
                    <w:jc w:val="center"/>
                    <w:rPr>
                      <w:color w:val="auto"/>
                      <w:kern w:val="0"/>
                      <w:szCs w:val="21"/>
                      <w:highlight w:val="none"/>
                    </w:rPr>
                  </w:pPr>
                  <w:r>
                    <w:rPr>
                      <w:rFonts w:hint="eastAsia"/>
                      <w:color w:val="auto"/>
                      <w:kern w:val="0"/>
                      <w:szCs w:val="21"/>
                      <w:highlight w:val="none"/>
                    </w:rPr>
                    <w:t>危险固废</w:t>
                  </w:r>
                </w:p>
              </w:tc>
              <w:tc>
                <w:tcPr>
                  <w:tcW w:w="1056" w:type="dxa"/>
                  <w:vAlign w:val="center"/>
                </w:tcPr>
                <w:p>
                  <w:pPr>
                    <w:widowControl/>
                    <w:jc w:val="center"/>
                    <w:rPr>
                      <w:color w:val="auto"/>
                      <w:kern w:val="0"/>
                      <w:szCs w:val="21"/>
                      <w:highlight w:val="none"/>
                    </w:rPr>
                  </w:pPr>
                  <w:r>
                    <w:rPr>
                      <w:rFonts w:hint="eastAsia"/>
                      <w:color w:val="auto"/>
                      <w:kern w:val="0"/>
                      <w:szCs w:val="21"/>
                      <w:highlight w:val="none"/>
                    </w:rPr>
                    <w:t>HW17类</w:t>
                  </w:r>
                </w:p>
              </w:tc>
              <w:tc>
                <w:tcPr>
                  <w:tcW w:w="3121" w:type="dxa"/>
                  <w:vAlign w:val="center"/>
                </w:tcPr>
                <w:p>
                  <w:pPr>
                    <w:widowControl/>
                    <w:jc w:val="left"/>
                    <w:rPr>
                      <w:color w:val="auto"/>
                      <w:kern w:val="0"/>
                      <w:szCs w:val="21"/>
                      <w:highlight w:val="none"/>
                    </w:rPr>
                  </w:pPr>
                  <w:r>
                    <w:rPr>
                      <w:rFonts w:hint="eastAsia"/>
                      <w:color w:val="auto"/>
                      <w:kern w:val="0"/>
                      <w:szCs w:val="21"/>
                      <w:highlight w:val="none"/>
                    </w:rPr>
                    <w:t>①电化学去毛刺废渣</w:t>
                  </w:r>
                </w:p>
                <w:p>
                  <w:pPr>
                    <w:widowControl/>
                    <w:jc w:val="left"/>
                    <w:rPr>
                      <w:color w:val="auto"/>
                      <w:kern w:val="0"/>
                      <w:szCs w:val="21"/>
                      <w:highlight w:val="none"/>
                    </w:rPr>
                  </w:pPr>
                  <w:r>
                    <w:rPr>
                      <w:rFonts w:hint="eastAsia"/>
                      <w:color w:val="auto"/>
                      <w:kern w:val="0"/>
                      <w:szCs w:val="21"/>
                      <w:highlight w:val="none"/>
                    </w:rPr>
                    <w:t>②工件清洗废液</w:t>
                  </w:r>
                </w:p>
              </w:tc>
              <w:tc>
                <w:tcPr>
                  <w:tcW w:w="4432" w:type="dxa"/>
                  <w:vMerge w:val="restart"/>
                  <w:vAlign w:val="center"/>
                </w:tcPr>
                <w:p>
                  <w:pPr>
                    <w:widowControl/>
                    <w:rPr>
                      <w:color w:val="auto"/>
                      <w:szCs w:val="21"/>
                      <w:highlight w:val="none"/>
                    </w:rPr>
                  </w:pPr>
                  <w:r>
                    <w:rPr>
                      <w:rFonts w:hint="eastAsia"/>
                      <w:color w:val="auto"/>
                      <w:szCs w:val="21"/>
                      <w:highlight w:val="none"/>
                    </w:rPr>
                    <w:t>①分类收集，用专用容器盛放</w:t>
                  </w:r>
                </w:p>
                <w:p>
                  <w:pPr>
                    <w:widowControl/>
                    <w:rPr>
                      <w:color w:val="auto"/>
                      <w:szCs w:val="21"/>
                      <w:highlight w:val="none"/>
                    </w:rPr>
                  </w:pPr>
                  <w:r>
                    <w:rPr>
                      <w:rFonts w:hint="eastAsia"/>
                      <w:color w:val="auto"/>
                      <w:szCs w:val="21"/>
                      <w:highlight w:val="none"/>
                    </w:rPr>
                    <w:t>②暂存于废品库中的危险固废区</w:t>
                  </w:r>
                  <w:r>
                    <w:rPr>
                      <w:rFonts w:hint="eastAsia"/>
                      <w:bCs/>
                      <w:color w:val="auto"/>
                      <w:kern w:val="0"/>
                      <w:szCs w:val="21"/>
                      <w:highlight w:val="none"/>
                      <w:lang w:val="zh-CN"/>
                    </w:rPr>
                    <w:t>（建筑面积1200m</w:t>
                  </w:r>
                  <w:r>
                    <w:rPr>
                      <w:rFonts w:hint="eastAsia"/>
                      <w:bCs/>
                      <w:color w:val="auto"/>
                      <w:kern w:val="0"/>
                      <w:szCs w:val="21"/>
                      <w:highlight w:val="none"/>
                      <w:vertAlign w:val="superscript"/>
                      <w:lang w:val="zh-CN"/>
                    </w:rPr>
                    <w:t>2</w:t>
                  </w:r>
                  <w:r>
                    <w:rPr>
                      <w:rFonts w:hint="eastAsia"/>
                      <w:bCs/>
                      <w:color w:val="auto"/>
                      <w:kern w:val="0"/>
                      <w:szCs w:val="21"/>
                      <w:highlight w:val="none"/>
                      <w:lang w:val="zh-CN"/>
                    </w:rPr>
                    <w:t>），暂存区按照</w:t>
                  </w:r>
                  <w:r>
                    <w:rPr>
                      <w:rFonts w:hint="eastAsia"/>
                      <w:color w:val="auto"/>
                      <w:szCs w:val="21"/>
                      <w:highlight w:val="none"/>
                    </w:rPr>
                    <w:t>《危险废物贮存污染控制标准》（GB18597-2001）修建</w:t>
                  </w:r>
                </w:p>
                <w:p>
                  <w:pPr>
                    <w:widowControl/>
                    <w:rPr>
                      <w:color w:val="auto"/>
                      <w:szCs w:val="21"/>
                      <w:highlight w:val="none"/>
                    </w:rPr>
                  </w:pPr>
                  <w:r>
                    <w:rPr>
                      <w:rFonts w:hint="eastAsia"/>
                      <w:bCs/>
                      <w:color w:val="auto"/>
                      <w:kern w:val="0"/>
                      <w:szCs w:val="21"/>
                      <w:highlight w:val="none"/>
                      <w:lang w:val="zh-CN"/>
                    </w:rPr>
                    <w:t>③委托有相应处理资质的单位定期运输、处置，并按照《危险废物转移联单管理办法》做好危险废物转移台账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2" w:type="dxa"/>
                  <w:vMerge w:val="continue"/>
                  <w:vAlign w:val="center"/>
                </w:tcPr>
                <w:p>
                  <w:pPr>
                    <w:widowControl/>
                    <w:jc w:val="center"/>
                    <w:rPr>
                      <w:color w:val="auto"/>
                      <w:kern w:val="0"/>
                      <w:szCs w:val="21"/>
                      <w:highlight w:val="none"/>
                    </w:rPr>
                  </w:pPr>
                </w:p>
              </w:tc>
              <w:tc>
                <w:tcPr>
                  <w:tcW w:w="1056" w:type="dxa"/>
                  <w:vAlign w:val="center"/>
                </w:tcPr>
                <w:p>
                  <w:pPr>
                    <w:widowControl/>
                    <w:jc w:val="center"/>
                    <w:rPr>
                      <w:color w:val="auto"/>
                      <w:kern w:val="0"/>
                      <w:szCs w:val="21"/>
                      <w:highlight w:val="none"/>
                    </w:rPr>
                  </w:pPr>
                  <w:r>
                    <w:rPr>
                      <w:rFonts w:hint="eastAsia"/>
                      <w:color w:val="auto"/>
                      <w:kern w:val="0"/>
                      <w:szCs w:val="21"/>
                      <w:highlight w:val="none"/>
                    </w:rPr>
                    <w:t>HW09类</w:t>
                  </w:r>
                </w:p>
              </w:tc>
              <w:tc>
                <w:tcPr>
                  <w:tcW w:w="3121" w:type="dxa"/>
                  <w:vAlign w:val="center"/>
                </w:tcPr>
                <w:p>
                  <w:pPr>
                    <w:widowControl/>
                    <w:jc w:val="left"/>
                    <w:rPr>
                      <w:color w:val="auto"/>
                      <w:kern w:val="0"/>
                      <w:szCs w:val="21"/>
                      <w:highlight w:val="none"/>
                    </w:rPr>
                  </w:pPr>
                  <w:r>
                    <w:rPr>
                      <w:rFonts w:hint="eastAsia"/>
                      <w:color w:val="auto"/>
                      <w:kern w:val="0"/>
                      <w:szCs w:val="21"/>
                      <w:highlight w:val="none"/>
                    </w:rPr>
                    <w:t>废乳化液</w:t>
                  </w:r>
                </w:p>
              </w:tc>
              <w:tc>
                <w:tcPr>
                  <w:tcW w:w="4432" w:type="dxa"/>
                  <w:vMerge w:val="continue"/>
                  <w:vAlign w:val="center"/>
                </w:tcPr>
                <w:p>
                  <w:pPr>
                    <w:widowControl/>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72" w:type="dxa"/>
                  <w:vMerge w:val="continue"/>
                  <w:vAlign w:val="center"/>
                </w:tcPr>
                <w:p>
                  <w:pPr>
                    <w:widowControl/>
                    <w:jc w:val="center"/>
                    <w:rPr>
                      <w:color w:val="auto"/>
                      <w:kern w:val="0"/>
                      <w:szCs w:val="21"/>
                      <w:highlight w:val="none"/>
                    </w:rPr>
                  </w:pPr>
                </w:p>
              </w:tc>
              <w:tc>
                <w:tcPr>
                  <w:tcW w:w="1056" w:type="dxa"/>
                  <w:vAlign w:val="center"/>
                </w:tcPr>
                <w:p>
                  <w:pPr>
                    <w:widowControl/>
                    <w:jc w:val="center"/>
                    <w:rPr>
                      <w:color w:val="auto"/>
                      <w:kern w:val="0"/>
                      <w:szCs w:val="21"/>
                      <w:highlight w:val="none"/>
                    </w:rPr>
                  </w:pPr>
                  <w:r>
                    <w:rPr>
                      <w:rFonts w:hint="eastAsia"/>
                      <w:color w:val="auto"/>
                      <w:kern w:val="0"/>
                      <w:szCs w:val="21"/>
                      <w:highlight w:val="none"/>
                    </w:rPr>
                    <w:t>HW08类</w:t>
                  </w:r>
                </w:p>
              </w:tc>
              <w:tc>
                <w:tcPr>
                  <w:tcW w:w="3121" w:type="dxa"/>
                  <w:vAlign w:val="center"/>
                </w:tcPr>
                <w:p>
                  <w:pPr>
                    <w:widowControl/>
                    <w:jc w:val="left"/>
                    <w:rPr>
                      <w:color w:val="auto"/>
                      <w:kern w:val="0"/>
                      <w:szCs w:val="21"/>
                      <w:highlight w:val="none"/>
                    </w:rPr>
                  </w:pPr>
                  <w:r>
                    <w:rPr>
                      <w:rFonts w:hint="eastAsia"/>
                      <w:color w:val="auto"/>
                      <w:kern w:val="0"/>
                      <w:szCs w:val="21"/>
                      <w:highlight w:val="none"/>
                    </w:rPr>
                    <w:t>①设备定期更换的废油脂</w:t>
                  </w:r>
                </w:p>
                <w:p>
                  <w:pPr>
                    <w:widowControl/>
                    <w:jc w:val="left"/>
                    <w:rPr>
                      <w:color w:val="auto"/>
                      <w:kern w:val="0"/>
                      <w:szCs w:val="21"/>
                      <w:highlight w:val="none"/>
                    </w:rPr>
                  </w:pPr>
                  <w:r>
                    <w:rPr>
                      <w:rFonts w:hint="eastAsia"/>
                      <w:color w:val="auto"/>
                      <w:kern w:val="0"/>
                      <w:szCs w:val="21"/>
                      <w:highlight w:val="none"/>
                    </w:rPr>
                    <w:t>②油雾净化器收集的废淬火油</w:t>
                  </w:r>
                </w:p>
              </w:tc>
              <w:tc>
                <w:tcPr>
                  <w:tcW w:w="4432" w:type="dxa"/>
                  <w:vMerge w:val="continue"/>
                  <w:vAlign w:val="center"/>
                </w:tcPr>
                <w:p>
                  <w:pPr>
                    <w:widowControl/>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28" w:type="dxa"/>
                  <w:gridSpan w:val="2"/>
                  <w:vAlign w:val="center"/>
                </w:tcPr>
                <w:p>
                  <w:pPr>
                    <w:widowControl/>
                    <w:jc w:val="center"/>
                    <w:rPr>
                      <w:color w:val="auto"/>
                      <w:kern w:val="0"/>
                      <w:szCs w:val="21"/>
                      <w:highlight w:val="none"/>
                    </w:rPr>
                  </w:pPr>
                  <w:r>
                    <w:rPr>
                      <w:rFonts w:hint="eastAsia"/>
                      <w:color w:val="auto"/>
                      <w:kern w:val="0"/>
                      <w:szCs w:val="21"/>
                      <w:highlight w:val="none"/>
                    </w:rPr>
                    <w:t>一般工业固废</w:t>
                  </w:r>
                </w:p>
              </w:tc>
              <w:tc>
                <w:tcPr>
                  <w:tcW w:w="3121" w:type="dxa"/>
                  <w:vAlign w:val="center"/>
                </w:tcPr>
                <w:p>
                  <w:pPr>
                    <w:widowControl/>
                    <w:jc w:val="left"/>
                    <w:rPr>
                      <w:color w:val="auto"/>
                      <w:kern w:val="0"/>
                      <w:szCs w:val="21"/>
                      <w:highlight w:val="none"/>
                    </w:rPr>
                  </w:pPr>
                  <w:r>
                    <w:rPr>
                      <w:rFonts w:hint="eastAsia"/>
                      <w:color w:val="auto"/>
                      <w:kern w:val="0"/>
                      <w:szCs w:val="21"/>
                      <w:highlight w:val="none"/>
                    </w:rPr>
                    <w:t>①钢铁及塑料边角废料</w:t>
                  </w:r>
                </w:p>
                <w:p>
                  <w:pPr>
                    <w:widowControl/>
                    <w:jc w:val="left"/>
                    <w:rPr>
                      <w:color w:val="auto"/>
                      <w:kern w:val="0"/>
                      <w:szCs w:val="21"/>
                      <w:highlight w:val="none"/>
                    </w:rPr>
                  </w:pPr>
                  <w:r>
                    <w:rPr>
                      <w:rFonts w:hint="eastAsia"/>
                      <w:color w:val="auto"/>
                      <w:kern w:val="0"/>
                      <w:szCs w:val="21"/>
                      <w:highlight w:val="none"/>
                    </w:rPr>
                    <w:t>②残次品</w:t>
                  </w:r>
                </w:p>
              </w:tc>
              <w:tc>
                <w:tcPr>
                  <w:tcW w:w="4432" w:type="dxa"/>
                  <w:vAlign w:val="center"/>
                </w:tcPr>
                <w:p>
                  <w:pPr>
                    <w:widowControl/>
                    <w:rPr>
                      <w:color w:val="auto"/>
                      <w:szCs w:val="21"/>
                      <w:highlight w:val="none"/>
                    </w:rPr>
                  </w:pPr>
                  <w:r>
                    <w:rPr>
                      <w:rFonts w:hint="eastAsia"/>
                      <w:color w:val="auto"/>
                      <w:szCs w:val="21"/>
                      <w:highlight w:val="none"/>
                    </w:rPr>
                    <w:t>①分类收集，用专用容器盛放</w:t>
                  </w:r>
                </w:p>
                <w:p>
                  <w:pPr>
                    <w:widowControl/>
                    <w:rPr>
                      <w:bCs/>
                      <w:color w:val="auto"/>
                      <w:kern w:val="0"/>
                      <w:szCs w:val="21"/>
                      <w:highlight w:val="none"/>
                      <w:lang w:val="zh-CN"/>
                    </w:rPr>
                  </w:pPr>
                  <w:r>
                    <w:rPr>
                      <w:rFonts w:hint="eastAsia"/>
                      <w:color w:val="auto"/>
                      <w:szCs w:val="21"/>
                      <w:highlight w:val="none"/>
                    </w:rPr>
                    <w:t>②暂存于废品库中的一般固废区</w:t>
                  </w:r>
                  <w:r>
                    <w:rPr>
                      <w:rFonts w:hint="eastAsia"/>
                      <w:bCs/>
                      <w:color w:val="auto"/>
                      <w:kern w:val="0"/>
                      <w:szCs w:val="21"/>
                      <w:highlight w:val="none"/>
                      <w:lang w:val="zh-CN"/>
                    </w:rPr>
                    <w:t>（建筑面积230m</w:t>
                  </w:r>
                  <w:r>
                    <w:rPr>
                      <w:rFonts w:hint="eastAsia"/>
                      <w:bCs/>
                      <w:color w:val="auto"/>
                      <w:kern w:val="0"/>
                      <w:szCs w:val="21"/>
                      <w:highlight w:val="none"/>
                      <w:vertAlign w:val="superscript"/>
                      <w:lang w:val="zh-CN"/>
                    </w:rPr>
                    <w:t>2</w:t>
                  </w:r>
                  <w:r>
                    <w:rPr>
                      <w:rFonts w:hint="eastAsia"/>
                      <w:bCs/>
                      <w:color w:val="auto"/>
                      <w:kern w:val="0"/>
                      <w:szCs w:val="21"/>
                      <w:highlight w:val="none"/>
                      <w:lang w:val="zh-CN"/>
                    </w:rPr>
                    <w:t>），暂存区按照</w:t>
                  </w:r>
                  <w:r>
                    <w:rPr>
                      <w:color w:val="auto"/>
                      <w:szCs w:val="21"/>
                      <w:highlight w:val="none"/>
                    </w:rPr>
                    <w:t>《一般工业固体废物储贮存、处置场污染控制标准》（GB18599-2001）</w:t>
                  </w:r>
                  <w:r>
                    <w:rPr>
                      <w:rFonts w:hint="eastAsia"/>
                      <w:color w:val="auto"/>
                      <w:szCs w:val="21"/>
                      <w:highlight w:val="none"/>
                    </w:rPr>
                    <w:t>修建</w:t>
                  </w:r>
                </w:p>
                <w:p>
                  <w:pPr>
                    <w:widowControl/>
                    <w:rPr>
                      <w:color w:val="auto"/>
                      <w:szCs w:val="21"/>
                      <w:highlight w:val="none"/>
                    </w:rPr>
                  </w:pPr>
                  <w:r>
                    <w:rPr>
                      <w:rFonts w:hint="eastAsia"/>
                      <w:bCs/>
                      <w:color w:val="auto"/>
                      <w:kern w:val="0"/>
                      <w:szCs w:val="21"/>
                      <w:highlight w:val="none"/>
                      <w:lang w:val="zh-CN"/>
                    </w:rPr>
                    <w:t>③定期外售废品回收站回收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28" w:type="dxa"/>
                  <w:gridSpan w:val="2"/>
                  <w:vAlign w:val="center"/>
                </w:tcPr>
                <w:p>
                  <w:pPr>
                    <w:widowControl/>
                    <w:jc w:val="center"/>
                    <w:rPr>
                      <w:color w:val="auto"/>
                      <w:kern w:val="0"/>
                      <w:szCs w:val="21"/>
                      <w:highlight w:val="none"/>
                    </w:rPr>
                  </w:pPr>
                  <w:r>
                    <w:rPr>
                      <w:rFonts w:hint="eastAsia"/>
                      <w:color w:val="auto"/>
                      <w:kern w:val="0"/>
                      <w:szCs w:val="21"/>
                      <w:highlight w:val="none"/>
                    </w:rPr>
                    <w:t>生活垃圾</w:t>
                  </w:r>
                </w:p>
              </w:tc>
              <w:tc>
                <w:tcPr>
                  <w:tcW w:w="3121" w:type="dxa"/>
                  <w:vAlign w:val="center"/>
                </w:tcPr>
                <w:p>
                  <w:pPr>
                    <w:widowControl/>
                    <w:jc w:val="left"/>
                    <w:rPr>
                      <w:color w:val="auto"/>
                      <w:kern w:val="0"/>
                      <w:szCs w:val="21"/>
                      <w:highlight w:val="none"/>
                    </w:rPr>
                  </w:pPr>
                  <w:r>
                    <w:rPr>
                      <w:rFonts w:hint="eastAsia"/>
                      <w:color w:val="auto"/>
                      <w:kern w:val="0"/>
                      <w:szCs w:val="21"/>
                      <w:highlight w:val="none"/>
                    </w:rPr>
                    <w:t>①普通生活垃圾</w:t>
                  </w:r>
                </w:p>
                <w:p>
                  <w:pPr>
                    <w:widowControl/>
                    <w:jc w:val="left"/>
                    <w:rPr>
                      <w:color w:val="auto"/>
                      <w:kern w:val="0"/>
                      <w:szCs w:val="21"/>
                      <w:highlight w:val="none"/>
                    </w:rPr>
                  </w:pPr>
                  <w:r>
                    <w:rPr>
                      <w:rFonts w:hint="eastAsia"/>
                      <w:color w:val="auto"/>
                      <w:kern w:val="0"/>
                      <w:szCs w:val="21"/>
                      <w:highlight w:val="none"/>
                    </w:rPr>
                    <w:t>②隔油池等收集的废油脂</w:t>
                  </w:r>
                </w:p>
              </w:tc>
              <w:tc>
                <w:tcPr>
                  <w:tcW w:w="4432" w:type="dxa"/>
                  <w:vAlign w:val="center"/>
                </w:tcPr>
                <w:p>
                  <w:pPr>
                    <w:widowControl/>
                    <w:rPr>
                      <w:color w:val="auto"/>
                      <w:szCs w:val="21"/>
                      <w:highlight w:val="none"/>
                    </w:rPr>
                  </w:pPr>
                  <w:r>
                    <w:rPr>
                      <w:rFonts w:hint="eastAsia"/>
                      <w:color w:val="auto"/>
                      <w:szCs w:val="21"/>
                      <w:highlight w:val="none"/>
                    </w:rPr>
                    <w:t>①分类收集，用专用容器盛放</w:t>
                  </w:r>
                </w:p>
                <w:p>
                  <w:pPr>
                    <w:widowControl/>
                    <w:rPr>
                      <w:color w:val="auto"/>
                      <w:szCs w:val="21"/>
                      <w:highlight w:val="none"/>
                    </w:rPr>
                  </w:pPr>
                  <w:r>
                    <w:rPr>
                      <w:rFonts w:hint="eastAsia"/>
                      <w:color w:val="auto"/>
                      <w:szCs w:val="21"/>
                      <w:highlight w:val="none"/>
                    </w:rPr>
                    <w:t>②普通生活垃圾交由当地环卫部门处置，隔油池废油脂委托湘潭市有资质的单位处置</w:t>
                  </w:r>
                </w:p>
              </w:tc>
            </w:tr>
          </w:tbl>
          <w:p>
            <w:pPr>
              <w:pStyle w:val="7"/>
              <w:spacing w:after="0" w:line="460" w:lineRule="exact"/>
              <w:ind w:firstLine="480" w:firstLineChars="200"/>
              <w:rPr>
                <w:rFonts w:hAnsi="宋体"/>
                <w:color w:val="auto"/>
                <w:sz w:val="24"/>
                <w:highlight w:val="none"/>
              </w:rPr>
            </w:pPr>
            <w:r>
              <w:rPr>
                <w:rFonts w:hAnsi="宋体"/>
                <w:color w:val="auto"/>
                <w:sz w:val="24"/>
                <w:highlight w:val="none"/>
              </w:rPr>
              <w:t>通过以上措施，本项目运行过程中产生的固体废物均可得到妥善处理处置，不会对外环境造成明显不利影响。</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7.2.5 环境风险分析</w:t>
            </w:r>
          </w:p>
          <w:p>
            <w:pPr>
              <w:spacing w:line="360" w:lineRule="auto"/>
              <w:ind w:firstLine="504" w:firstLineChars="200"/>
              <w:rPr>
                <w:color w:val="auto"/>
                <w:spacing w:val="6"/>
                <w:sz w:val="24"/>
                <w:highlight w:val="none"/>
              </w:rPr>
            </w:pPr>
            <w:r>
              <w:rPr>
                <w:rFonts w:hint="eastAsia"/>
                <w:color w:val="auto"/>
                <w:spacing w:val="6"/>
                <w:sz w:val="24"/>
                <w:highlight w:val="none"/>
              </w:rPr>
              <w:t>（1）原辅材料环境风险</w:t>
            </w:r>
          </w:p>
          <w:p>
            <w:pPr>
              <w:spacing w:line="360" w:lineRule="auto"/>
              <w:ind w:firstLine="504" w:firstLineChars="200"/>
              <w:rPr>
                <w:color w:val="auto"/>
                <w:spacing w:val="6"/>
                <w:sz w:val="24"/>
                <w:highlight w:val="none"/>
              </w:rPr>
            </w:pPr>
            <w:r>
              <w:rPr>
                <w:rFonts w:hint="eastAsia"/>
                <w:color w:val="auto"/>
                <w:spacing w:val="6"/>
                <w:sz w:val="24"/>
                <w:highlight w:val="none"/>
              </w:rPr>
              <w:t>比对《危险化学品名录》（2015版）可知，项目使用的各类原辅材料中属于危险化学品的有甲醇、氨气、丙烷、液氮、柴油、硝酸。考虑到硝酸用量很小，本项目主要分析其他危险化学品可能产生的环境风险。</w:t>
            </w:r>
          </w:p>
          <w:p>
            <w:pPr>
              <w:spacing w:line="360" w:lineRule="auto"/>
              <w:ind w:firstLine="504" w:firstLineChars="200"/>
              <w:rPr>
                <w:color w:val="auto"/>
                <w:spacing w:val="6"/>
                <w:sz w:val="24"/>
                <w:highlight w:val="none"/>
              </w:rPr>
            </w:pPr>
            <w:r>
              <w:rPr>
                <w:rFonts w:hint="eastAsia"/>
                <w:color w:val="auto"/>
                <w:spacing w:val="6"/>
                <w:sz w:val="24"/>
                <w:highlight w:val="none"/>
              </w:rPr>
              <w:t>下表为本项目厂区各类危险化学品常年存放情况。</w:t>
            </w:r>
          </w:p>
          <w:p>
            <w:pPr>
              <w:snapToGrid w:val="0"/>
              <w:spacing w:line="360" w:lineRule="auto"/>
              <w:jc w:val="center"/>
              <w:rPr>
                <w:b/>
                <w:color w:val="auto"/>
                <w:sz w:val="24"/>
                <w:highlight w:val="none"/>
              </w:rPr>
            </w:pPr>
            <w:r>
              <w:rPr>
                <w:rFonts w:hint="eastAsia"/>
                <w:b/>
                <w:color w:val="auto"/>
                <w:sz w:val="24"/>
                <w:highlight w:val="none"/>
              </w:rPr>
              <w:t>表7-9  项目厂区各类危险化学品常年存放情况</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2017"/>
              <w:gridCol w:w="1526"/>
              <w:gridCol w:w="1244"/>
              <w:gridCol w:w="3331"/>
              <w:gridCol w:w="1263"/>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2017" w:type="dxa"/>
                  <w:vMerge w:val="restart"/>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危险化学品名称</w:t>
                  </w:r>
                </w:p>
              </w:tc>
              <w:tc>
                <w:tcPr>
                  <w:tcW w:w="2770" w:type="dxa"/>
                  <w:gridSpan w:val="2"/>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本工程厂区常年存放量</w:t>
                  </w:r>
                </w:p>
              </w:tc>
              <w:tc>
                <w:tcPr>
                  <w:tcW w:w="4594" w:type="dxa"/>
                  <w:gridSpan w:val="2"/>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本工程常年存放</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2017" w:type="dxa"/>
                  <w:vMerge w:val="continue"/>
                  <w:vAlign w:val="center"/>
                </w:tcPr>
                <w:p>
                  <w:pPr>
                    <w:widowControl/>
                    <w:jc w:val="center"/>
                    <w:rPr>
                      <w:color w:val="auto"/>
                      <w:kern w:val="0"/>
                      <w:szCs w:val="21"/>
                      <w:highlight w:val="none"/>
                    </w:rPr>
                  </w:pPr>
                </w:p>
              </w:tc>
              <w:tc>
                <w:tcPr>
                  <w:tcW w:w="1526"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单位</w:t>
                  </w:r>
                </w:p>
              </w:tc>
              <w:tc>
                <w:tcPr>
                  <w:tcW w:w="1244"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数量</w:t>
                  </w:r>
                </w:p>
              </w:tc>
              <w:tc>
                <w:tcPr>
                  <w:tcW w:w="3331"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存放方式</w:t>
                  </w:r>
                </w:p>
              </w:tc>
              <w:tc>
                <w:tcPr>
                  <w:tcW w:w="1263"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存放位置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2017"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丙烷</w:t>
                  </w:r>
                </w:p>
              </w:tc>
              <w:tc>
                <w:tcPr>
                  <w:tcW w:w="1526"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吨</w:t>
                  </w:r>
                </w:p>
              </w:tc>
              <w:tc>
                <w:tcPr>
                  <w:tcW w:w="1244"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0.188</w:t>
                  </w:r>
                </w:p>
              </w:tc>
              <w:tc>
                <w:tcPr>
                  <w:tcW w:w="3331"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瓶装</w:t>
                  </w:r>
                  <w:r>
                    <w:rPr>
                      <w:color w:val="auto"/>
                      <w:kern w:val="0"/>
                      <w:szCs w:val="21"/>
                      <w:highlight w:val="none"/>
                    </w:rPr>
                    <w:t>(50kg*37</w:t>
                  </w:r>
                  <w:r>
                    <w:rPr>
                      <w:rFonts w:hint="eastAsia"/>
                      <w:color w:val="auto"/>
                      <w:kern w:val="0"/>
                      <w:szCs w:val="21"/>
                      <w:highlight w:val="none"/>
                    </w:rPr>
                    <w:t>瓶</w:t>
                  </w:r>
                  <w:r>
                    <w:rPr>
                      <w:color w:val="auto"/>
                      <w:kern w:val="0"/>
                      <w:szCs w:val="21"/>
                      <w:highlight w:val="none"/>
                    </w:rPr>
                    <w:t>+15kg*2</w:t>
                  </w:r>
                  <w:r>
                    <w:rPr>
                      <w:rFonts w:hint="eastAsia"/>
                      <w:color w:val="auto"/>
                      <w:kern w:val="0"/>
                      <w:szCs w:val="21"/>
                      <w:highlight w:val="none"/>
                    </w:rPr>
                    <w:t>瓶</w:t>
                  </w:r>
                  <w:r>
                    <w:rPr>
                      <w:color w:val="auto"/>
                      <w:kern w:val="0"/>
                      <w:szCs w:val="21"/>
                      <w:highlight w:val="none"/>
                    </w:rPr>
                    <w:t>)</w:t>
                  </w:r>
                </w:p>
              </w:tc>
              <w:tc>
                <w:tcPr>
                  <w:tcW w:w="1263"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丙烷气站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2017"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氨</w:t>
                  </w:r>
                </w:p>
              </w:tc>
              <w:tc>
                <w:tcPr>
                  <w:tcW w:w="1526"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吨</w:t>
                  </w:r>
                </w:p>
              </w:tc>
              <w:tc>
                <w:tcPr>
                  <w:tcW w:w="1244"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0.</w:t>
                  </w:r>
                  <w:r>
                    <w:rPr>
                      <w:color w:val="auto"/>
                      <w:kern w:val="0"/>
                      <w:szCs w:val="21"/>
                      <w:highlight w:val="none"/>
                    </w:rPr>
                    <w:t>48</w:t>
                  </w:r>
                </w:p>
              </w:tc>
              <w:tc>
                <w:tcPr>
                  <w:tcW w:w="3331" w:type="dxa"/>
                  <w:tcMar>
                    <w:top w:w="0" w:type="dxa"/>
                    <w:left w:w="108" w:type="dxa"/>
                    <w:bottom w:w="0" w:type="dxa"/>
                    <w:right w:w="108" w:type="dxa"/>
                  </w:tcMar>
                  <w:vAlign w:val="center"/>
                </w:tcPr>
                <w:p>
                  <w:pPr>
                    <w:widowControl/>
                    <w:jc w:val="center"/>
                    <w:rPr>
                      <w:color w:val="auto"/>
                      <w:kern w:val="0"/>
                      <w:szCs w:val="21"/>
                      <w:highlight w:val="none"/>
                    </w:rPr>
                  </w:pPr>
                  <w:r>
                    <w:rPr>
                      <w:color w:val="auto"/>
                      <w:kern w:val="0"/>
                      <w:szCs w:val="21"/>
                      <w:highlight w:val="none"/>
                    </w:rPr>
                    <w:t>(400kg*12</w:t>
                  </w:r>
                  <w:r>
                    <w:rPr>
                      <w:rFonts w:hint="eastAsia"/>
                      <w:color w:val="auto"/>
                      <w:kern w:val="0"/>
                      <w:szCs w:val="21"/>
                      <w:highlight w:val="none"/>
                    </w:rPr>
                    <w:t>罐</w:t>
                  </w:r>
                  <w:r>
                    <w:rPr>
                      <w:color w:val="auto"/>
                      <w:kern w:val="0"/>
                      <w:szCs w:val="21"/>
                      <w:highlight w:val="none"/>
                    </w:rPr>
                    <w:t>)</w:t>
                  </w:r>
                </w:p>
              </w:tc>
              <w:tc>
                <w:tcPr>
                  <w:tcW w:w="1263"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氨气站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2017"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柴油</w:t>
                  </w:r>
                </w:p>
              </w:tc>
              <w:tc>
                <w:tcPr>
                  <w:tcW w:w="1526"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吨</w:t>
                  </w:r>
                </w:p>
              </w:tc>
              <w:tc>
                <w:tcPr>
                  <w:tcW w:w="1244"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34</w:t>
                  </w:r>
                </w:p>
              </w:tc>
              <w:tc>
                <w:tcPr>
                  <w:tcW w:w="3331" w:type="dxa"/>
                  <w:tcMar>
                    <w:top w:w="0" w:type="dxa"/>
                    <w:left w:w="108" w:type="dxa"/>
                    <w:bottom w:w="0" w:type="dxa"/>
                    <w:right w:w="108" w:type="dxa"/>
                  </w:tcMar>
                  <w:vAlign w:val="center"/>
                </w:tcPr>
                <w:p>
                  <w:pPr>
                    <w:widowControl/>
                    <w:jc w:val="center"/>
                    <w:rPr>
                      <w:color w:val="auto"/>
                      <w:kern w:val="0"/>
                      <w:szCs w:val="21"/>
                      <w:highlight w:val="none"/>
                    </w:rPr>
                  </w:pPr>
                  <w:r>
                    <w:rPr>
                      <w:color w:val="auto"/>
                      <w:kern w:val="0"/>
                      <w:szCs w:val="21"/>
                      <w:highlight w:val="none"/>
                    </w:rPr>
                    <w:t>50</w:t>
                  </w:r>
                  <w:r>
                    <w:rPr>
                      <w:rFonts w:hint="eastAsia"/>
                      <w:color w:val="auto"/>
                      <w:kern w:val="0"/>
                      <w:szCs w:val="21"/>
                      <w:highlight w:val="none"/>
                    </w:rPr>
                    <w:t>立方米储罐</w:t>
                  </w:r>
                </w:p>
              </w:tc>
              <w:tc>
                <w:tcPr>
                  <w:tcW w:w="1263"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柴油储罐</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2017"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甲醇</w:t>
                  </w:r>
                </w:p>
              </w:tc>
              <w:tc>
                <w:tcPr>
                  <w:tcW w:w="1526"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吨</w:t>
                  </w:r>
                </w:p>
              </w:tc>
              <w:tc>
                <w:tcPr>
                  <w:tcW w:w="1244"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44</w:t>
                  </w:r>
                </w:p>
              </w:tc>
              <w:tc>
                <w:tcPr>
                  <w:tcW w:w="3331" w:type="dxa"/>
                  <w:tcMar>
                    <w:top w:w="0" w:type="dxa"/>
                    <w:left w:w="108" w:type="dxa"/>
                    <w:bottom w:w="0" w:type="dxa"/>
                    <w:right w:w="108" w:type="dxa"/>
                  </w:tcMar>
                  <w:vAlign w:val="center"/>
                </w:tcPr>
                <w:p>
                  <w:pPr>
                    <w:widowControl/>
                    <w:jc w:val="center"/>
                    <w:rPr>
                      <w:color w:val="auto"/>
                      <w:kern w:val="0"/>
                      <w:szCs w:val="21"/>
                      <w:highlight w:val="none"/>
                    </w:rPr>
                  </w:pPr>
                  <w:r>
                    <w:rPr>
                      <w:color w:val="auto"/>
                      <w:kern w:val="0"/>
                      <w:szCs w:val="21"/>
                      <w:highlight w:val="none"/>
                    </w:rPr>
                    <w:t>50</w:t>
                  </w:r>
                  <w:r>
                    <w:rPr>
                      <w:rFonts w:hint="eastAsia"/>
                      <w:color w:val="auto"/>
                      <w:kern w:val="0"/>
                      <w:szCs w:val="21"/>
                      <w:highlight w:val="none"/>
                    </w:rPr>
                    <w:t>立方米储罐</w:t>
                  </w:r>
                </w:p>
              </w:tc>
              <w:tc>
                <w:tcPr>
                  <w:tcW w:w="1263"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甲醇站</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97" w:hRule="atLeast"/>
                <w:jc w:val="center"/>
              </w:trPr>
              <w:tc>
                <w:tcPr>
                  <w:tcW w:w="2017"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氮气</w:t>
                  </w:r>
                </w:p>
              </w:tc>
              <w:tc>
                <w:tcPr>
                  <w:tcW w:w="1526"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立方米</w:t>
                  </w:r>
                </w:p>
              </w:tc>
              <w:tc>
                <w:tcPr>
                  <w:tcW w:w="1244" w:type="dxa"/>
                  <w:tcMar>
                    <w:top w:w="0" w:type="dxa"/>
                    <w:left w:w="108" w:type="dxa"/>
                    <w:bottom w:w="0" w:type="dxa"/>
                    <w:right w:w="108" w:type="dxa"/>
                  </w:tcMar>
                  <w:vAlign w:val="center"/>
                </w:tcPr>
                <w:p>
                  <w:pPr>
                    <w:widowControl/>
                    <w:jc w:val="center"/>
                    <w:rPr>
                      <w:color w:val="auto"/>
                      <w:kern w:val="0"/>
                      <w:szCs w:val="21"/>
                      <w:highlight w:val="none"/>
                    </w:rPr>
                  </w:pPr>
                  <w:r>
                    <w:rPr>
                      <w:color w:val="auto"/>
                      <w:kern w:val="0"/>
                      <w:szCs w:val="21"/>
                      <w:highlight w:val="none"/>
                    </w:rPr>
                    <w:t>100</w:t>
                  </w:r>
                </w:p>
              </w:tc>
              <w:tc>
                <w:tcPr>
                  <w:tcW w:w="3331"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罐装</w:t>
                  </w:r>
                  <w:r>
                    <w:rPr>
                      <w:color w:val="auto"/>
                      <w:kern w:val="0"/>
                      <w:szCs w:val="21"/>
                      <w:highlight w:val="none"/>
                    </w:rPr>
                    <w:t>(</w:t>
                  </w:r>
                  <w:r>
                    <w:rPr>
                      <w:rFonts w:hint="eastAsia"/>
                      <w:color w:val="auto"/>
                      <w:kern w:val="0"/>
                      <w:szCs w:val="21"/>
                      <w:highlight w:val="none"/>
                    </w:rPr>
                    <w:t>两个</w:t>
                  </w:r>
                  <w:r>
                    <w:rPr>
                      <w:color w:val="auto"/>
                      <w:kern w:val="0"/>
                      <w:szCs w:val="21"/>
                      <w:highlight w:val="none"/>
                    </w:rPr>
                    <w:t>50</w:t>
                  </w:r>
                  <w:r>
                    <w:rPr>
                      <w:rFonts w:hint="eastAsia"/>
                      <w:color w:val="auto"/>
                      <w:kern w:val="0"/>
                      <w:szCs w:val="21"/>
                      <w:highlight w:val="none"/>
                    </w:rPr>
                    <w:t>立方米</w:t>
                  </w:r>
                  <w:r>
                    <w:rPr>
                      <w:color w:val="auto"/>
                      <w:kern w:val="0"/>
                      <w:szCs w:val="21"/>
                      <w:highlight w:val="none"/>
                    </w:rPr>
                    <w:t>)</w:t>
                  </w:r>
                </w:p>
              </w:tc>
              <w:tc>
                <w:tcPr>
                  <w:tcW w:w="1263" w:type="dxa"/>
                  <w:tcMar>
                    <w:top w:w="0" w:type="dxa"/>
                    <w:left w:w="108" w:type="dxa"/>
                    <w:bottom w:w="0" w:type="dxa"/>
                    <w:right w:w="108" w:type="dxa"/>
                  </w:tcMar>
                  <w:vAlign w:val="center"/>
                </w:tcPr>
                <w:p>
                  <w:pPr>
                    <w:widowControl/>
                    <w:jc w:val="center"/>
                    <w:rPr>
                      <w:color w:val="auto"/>
                      <w:kern w:val="0"/>
                      <w:szCs w:val="21"/>
                      <w:highlight w:val="none"/>
                    </w:rPr>
                  </w:pPr>
                  <w:r>
                    <w:rPr>
                      <w:rFonts w:hint="eastAsia"/>
                      <w:color w:val="auto"/>
                      <w:kern w:val="0"/>
                      <w:szCs w:val="21"/>
                      <w:highlight w:val="none"/>
                    </w:rPr>
                    <w:t>氮气站</w:t>
                  </w:r>
                </w:p>
              </w:tc>
            </w:tr>
          </w:tbl>
          <w:p>
            <w:pPr>
              <w:spacing w:line="360" w:lineRule="auto"/>
              <w:ind w:firstLine="504" w:firstLineChars="200"/>
              <w:rPr>
                <w:color w:val="auto"/>
                <w:spacing w:val="6"/>
                <w:sz w:val="24"/>
                <w:highlight w:val="none"/>
              </w:rPr>
            </w:pPr>
            <w:r>
              <w:rPr>
                <w:rFonts w:hint="eastAsia"/>
                <w:color w:val="auto"/>
                <w:spacing w:val="6"/>
                <w:sz w:val="24"/>
                <w:highlight w:val="none"/>
              </w:rPr>
              <w:t>查阅《危险化学品重大危险源辨识》（GB18218-2009），结合项目危险化学品理化性质可知，属于重大危险源的物质临街存放量分别为：丙烷10吨，氨气10吨，柴油1000吨，甲醇500吨（氮气无规定）。根据项目厂区各类危险化学品常年存放量可知，</w:t>
            </w:r>
            <w:r>
              <w:rPr>
                <w:rFonts w:hint="eastAsia"/>
                <w:b/>
                <w:color w:val="auto"/>
                <w:spacing w:val="6"/>
                <w:sz w:val="24"/>
                <w:highlight w:val="none"/>
              </w:rPr>
              <w:t>项目无重大危险源存在</w:t>
            </w:r>
            <w:r>
              <w:rPr>
                <w:color w:val="auto"/>
                <w:spacing w:val="6"/>
                <w:sz w:val="24"/>
                <w:highlight w:val="none"/>
              </w:rPr>
              <w:t>。</w:t>
            </w:r>
          </w:p>
          <w:p>
            <w:pPr>
              <w:spacing w:line="360" w:lineRule="auto"/>
              <w:ind w:firstLine="504" w:firstLineChars="200"/>
              <w:rPr>
                <w:color w:val="auto"/>
                <w:spacing w:val="6"/>
                <w:sz w:val="24"/>
                <w:highlight w:val="none"/>
              </w:rPr>
            </w:pPr>
            <w:r>
              <w:rPr>
                <w:rFonts w:hint="eastAsia"/>
                <w:color w:val="auto"/>
                <w:spacing w:val="6"/>
                <w:sz w:val="24"/>
                <w:highlight w:val="none"/>
              </w:rPr>
              <w:t>根据项目危险化学品物质类型，结合国内外环境风险事故发生案例可知，项目环境风险最大概率事件为甲醇、氨气、丙烷、柴油泄露及其次生灾害带来的环境污染，主要表现为：</w:t>
            </w:r>
          </w:p>
          <w:p>
            <w:pPr>
              <w:spacing w:line="360" w:lineRule="auto"/>
              <w:ind w:firstLine="504" w:firstLineChars="200"/>
              <w:rPr>
                <w:color w:val="auto"/>
                <w:spacing w:val="6"/>
                <w:sz w:val="24"/>
                <w:highlight w:val="none"/>
              </w:rPr>
            </w:pPr>
            <w:r>
              <w:rPr>
                <w:rFonts w:hint="eastAsia"/>
                <w:color w:val="auto"/>
                <w:spacing w:val="6"/>
                <w:sz w:val="24"/>
                <w:highlight w:val="none"/>
              </w:rPr>
              <w:t>①事故现场附近环境空气中甲醇、氨气、非甲烷总烃浓度大大增加。如因上述物质泄露引发爆炸，环境空气中烟尘等浓度也将增加，环境空气质量将进一步恶化。</w:t>
            </w:r>
          </w:p>
          <w:p>
            <w:pPr>
              <w:spacing w:line="360" w:lineRule="auto"/>
              <w:ind w:firstLine="504" w:firstLineChars="200"/>
              <w:rPr>
                <w:color w:val="auto"/>
                <w:spacing w:val="6"/>
                <w:sz w:val="24"/>
                <w:highlight w:val="none"/>
              </w:rPr>
            </w:pPr>
            <w:r>
              <w:rPr>
                <w:rFonts w:hint="eastAsia"/>
                <w:color w:val="auto"/>
                <w:spacing w:val="6"/>
                <w:sz w:val="24"/>
                <w:highlight w:val="none"/>
              </w:rPr>
              <w:t>②事故现场地面附着泄露的甲醇、丙烷、柴油，以及因救援不当造成废污水横流等，可能污染场地及其周边地表水环境、土壤环境、地下水环境。</w:t>
            </w:r>
          </w:p>
          <w:p>
            <w:pPr>
              <w:spacing w:line="360" w:lineRule="auto"/>
              <w:ind w:firstLine="504" w:firstLineChars="200"/>
              <w:rPr>
                <w:color w:val="auto"/>
                <w:spacing w:val="6"/>
                <w:sz w:val="24"/>
                <w:highlight w:val="none"/>
              </w:rPr>
            </w:pPr>
            <w:r>
              <w:rPr>
                <w:rFonts w:hint="eastAsia"/>
                <w:color w:val="auto"/>
                <w:spacing w:val="6"/>
                <w:sz w:val="24"/>
                <w:highlight w:val="none"/>
              </w:rPr>
              <w:t>（2）环境风险减缓及应急措施</w:t>
            </w:r>
          </w:p>
          <w:p>
            <w:pPr>
              <w:spacing w:line="360" w:lineRule="auto"/>
              <w:ind w:firstLine="504" w:firstLineChars="200"/>
              <w:rPr>
                <w:color w:val="auto"/>
                <w:spacing w:val="6"/>
                <w:sz w:val="24"/>
                <w:highlight w:val="none"/>
              </w:rPr>
            </w:pPr>
            <w:r>
              <w:rPr>
                <w:rFonts w:hint="eastAsia"/>
                <w:color w:val="auto"/>
                <w:spacing w:val="6"/>
                <w:sz w:val="24"/>
                <w:highlight w:val="none"/>
              </w:rPr>
              <w:t>为避免或减缓上述可能发生的环境风险事故，环评要求建设单位：</w:t>
            </w:r>
          </w:p>
          <w:p>
            <w:pPr>
              <w:spacing w:line="360" w:lineRule="auto"/>
              <w:ind w:firstLine="504" w:firstLineChars="200"/>
              <w:rPr>
                <w:color w:val="auto"/>
                <w:spacing w:val="6"/>
                <w:sz w:val="24"/>
                <w:highlight w:val="none"/>
              </w:rPr>
            </w:pPr>
            <w:r>
              <w:rPr>
                <w:rFonts w:hint="eastAsia"/>
                <w:color w:val="auto"/>
                <w:spacing w:val="6"/>
                <w:sz w:val="24"/>
                <w:highlight w:val="none"/>
              </w:rPr>
              <w:t>①</w:t>
            </w:r>
            <w:r>
              <w:rPr>
                <w:color w:val="auto"/>
                <w:spacing w:val="6"/>
                <w:sz w:val="24"/>
                <w:highlight w:val="none"/>
              </w:rPr>
              <w:t>严格执行《危险化学品安全管理条例》</w:t>
            </w:r>
            <w:r>
              <w:rPr>
                <w:rFonts w:hint="eastAsia"/>
                <w:color w:val="auto"/>
                <w:spacing w:val="6"/>
                <w:sz w:val="24"/>
                <w:highlight w:val="none"/>
              </w:rPr>
              <w:t>；</w:t>
            </w:r>
          </w:p>
          <w:p>
            <w:pPr>
              <w:spacing w:line="360" w:lineRule="auto"/>
              <w:ind w:firstLine="504" w:firstLineChars="200"/>
              <w:rPr>
                <w:color w:val="auto"/>
                <w:spacing w:val="6"/>
                <w:sz w:val="24"/>
                <w:highlight w:val="none"/>
              </w:rPr>
            </w:pPr>
            <w:r>
              <w:rPr>
                <w:rFonts w:hint="eastAsia"/>
                <w:color w:val="auto"/>
                <w:spacing w:val="6"/>
                <w:sz w:val="24"/>
                <w:highlight w:val="none"/>
              </w:rPr>
              <w:t>②针对性编制环境风险突发事件应急预案，制定环境风险应急措施，并在危险化学品存放现场配置应急救援物资。</w:t>
            </w:r>
          </w:p>
          <w:p>
            <w:pPr>
              <w:spacing w:line="360" w:lineRule="auto"/>
              <w:ind w:firstLine="504" w:firstLineChars="200"/>
              <w:rPr>
                <w:color w:val="auto"/>
                <w:spacing w:val="6"/>
                <w:sz w:val="24"/>
                <w:highlight w:val="none"/>
              </w:rPr>
            </w:pPr>
            <w:r>
              <w:rPr>
                <w:rFonts w:hint="eastAsia"/>
                <w:color w:val="auto"/>
                <w:spacing w:val="6"/>
                <w:sz w:val="24"/>
                <w:highlight w:val="none"/>
              </w:rPr>
              <w:t>③应加强宣传与管理，定期巡查危险化学品存放现场情况，定期进行环境风险突发事件应急演练</w:t>
            </w:r>
            <w:r>
              <w:rPr>
                <w:color w:val="auto"/>
                <w:spacing w:val="6"/>
                <w:sz w:val="24"/>
                <w:highlight w:val="none"/>
              </w:rPr>
              <w:t>。</w:t>
            </w:r>
          </w:p>
          <w:p>
            <w:pPr>
              <w:spacing w:line="360" w:lineRule="auto"/>
              <w:ind w:firstLine="504" w:firstLineChars="200"/>
              <w:rPr>
                <w:color w:val="auto"/>
                <w:spacing w:val="6"/>
                <w:sz w:val="24"/>
                <w:highlight w:val="none"/>
              </w:rPr>
            </w:pPr>
            <w:r>
              <w:rPr>
                <w:rFonts w:hint="eastAsia"/>
                <w:color w:val="auto"/>
                <w:spacing w:val="6"/>
                <w:sz w:val="24"/>
                <w:highlight w:val="none"/>
              </w:rPr>
              <w:t>以下为针对本项目环境风险突发事件的具体应急救援措施，危险化学品一旦发生泄露，应：</w:t>
            </w:r>
          </w:p>
          <w:p>
            <w:pPr>
              <w:spacing w:line="360" w:lineRule="auto"/>
              <w:ind w:firstLine="504" w:firstLineChars="200"/>
              <w:rPr>
                <w:color w:val="auto"/>
                <w:spacing w:val="6"/>
                <w:sz w:val="24"/>
                <w:highlight w:val="none"/>
              </w:rPr>
            </w:pPr>
            <w:r>
              <w:rPr>
                <w:rFonts w:hint="eastAsia"/>
                <w:color w:val="auto"/>
                <w:spacing w:val="6"/>
                <w:sz w:val="24"/>
                <w:highlight w:val="none"/>
              </w:rPr>
              <w:t>①报告危险化学品存放场地相关负责人泄露情况；</w:t>
            </w:r>
          </w:p>
          <w:p>
            <w:pPr>
              <w:spacing w:line="360" w:lineRule="auto"/>
              <w:ind w:firstLine="504" w:firstLineChars="200"/>
              <w:rPr>
                <w:color w:val="auto"/>
                <w:spacing w:val="6"/>
                <w:sz w:val="24"/>
                <w:highlight w:val="none"/>
              </w:rPr>
            </w:pPr>
            <w:r>
              <w:rPr>
                <w:rFonts w:hint="eastAsia"/>
                <w:color w:val="auto"/>
                <w:spacing w:val="6"/>
                <w:sz w:val="24"/>
                <w:highlight w:val="none"/>
              </w:rPr>
              <w:t>②隔离疏散周围人员，安排人员往上风口撤离；</w:t>
            </w:r>
          </w:p>
          <w:p>
            <w:pPr>
              <w:spacing w:line="360" w:lineRule="auto"/>
              <w:ind w:firstLine="480" w:firstLineChars="200"/>
              <w:rPr>
                <w:color w:val="auto"/>
                <w:spacing w:val="6"/>
                <w:sz w:val="24"/>
                <w:highlight w:val="none"/>
              </w:rPr>
            </w:pPr>
            <w:r>
              <w:rPr>
                <w:color w:val="auto"/>
                <w:spacing w:val="6"/>
                <w:sz w:val="24"/>
                <w:highlight w:val="none"/>
              </w:rPr>
              <w:fldChar w:fldCharType="begin"/>
            </w:r>
            <w:r>
              <w:rPr>
                <w:color w:val="auto"/>
                <w:spacing w:val="6"/>
                <w:sz w:val="24"/>
                <w:highlight w:val="none"/>
              </w:rPr>
              <w:instrText xml:space="preserve"> </w:instrText>
            </w:r>
            <w:r>
              <w:rPr>
                <w:rFonts w:hint="eastAsia"/>
                <w:color w:val="auto"/>
                <w:spacing w:val="6"/>
                <w:sz w:val="24"/>
                <w:highlight w:val="none"/>
              </w:rPr>
              <w:instrText xml:space="preserve">= 3 \* GB3</w:instrText>
            </w:r>
            <w:r>
              <w:rPr>
                <w:color w:val="auto"/>
                <w:spacing w:val="6"/>
                <w:sz w:val="24"/>
                <w:highlight w:val="none"/>
              </w:rPr>
              <w:instrText xml:space="preserve"> </w:instrText>
            </w:r>
            <w:r>
              <w:rPr>
                <w:color w:val="auto"/>
                <w:spacing w:val="6"/>
                <w:sz w:val="24"/>
                <w:highlight w:val="none"/>
              </w:rPr>
              <w:fldChar w:fldCharType="separate"/>
            </w:r>
            <w:r>
              <w:rPr>
                <w:rFonts w:hint="eastAsia"/>
                <w:color w:val="auto"/>
                <w:spacing w:val="6"/>
                <w:sz w:val="24"/>
                <w:highlight w:val="none"/>
              </w:rPr>
              <w:t>③</w:t>
            </w:r>
            <w:r>
              <w:rPr>
                <w:color w:val="auto"/>
                <w:spacing w:val="6"/>
                <w:sz w:val="24"/>
                <w:highlight w:val="none"/>
              </w:rPr>
              <w:fldChar w:fldCharType="end"/>
            </w:r>
            <w:r>
              <w:rPr>
                <w:rFonts w:hint="eastAsia"/>
                <w:color w:val="auto"/>
                <w:spacing w:val="6"/>
                <w:sz w:val="24"/>
                <w:highlight w:val="none"/>
              </w:rPr>
              <w:t>危险化学品存放场地负责人员检测周围环境中风险物质含量，设置警戒区。</w:t>
            </w:r>
          </w:p>
          <w:p>
            <w:pPr>
              <w:spacing w:line="360" w:lineRule="auto"/>
              <w:ind w:firstLine="480" w:firstLineChars="200"/>
              <w:rPr>
                <w:color w:val="auto"/>
                <w:spacing w:val="6"/>
                <w:sz w:val="24"/>
                <w:highlight w:val="none"/>
              </w:rPr>
            </w:pPr>
            <w:r>
              <w:rPr>
                <w:color w:val="auto"/>
                <w:spacing w:val="6"/>
                <w:sz w:val="24"/>
                <w:highlight w:val="none"/>
              </w:rPr>
              <w:fldChar w:fldCharType="begin"/>
            </w:r>
            <w:r>
              <w:rPr>
                <w:color w:val="auto"/>
                <w:spacing w:val="6"/>
                <w:sz w:val="24"/>
                <w:highlight w:val="none"/>
              </w:rPr>
              <w:instrText xml:space="preserve"> </w:instrText>
            </w:r>
            <w:r>
              <w:rPr>
                <w:rFonts w:hint="eastAsia"/>
                <w:color w:val="auto"/>
                <w:spacing w:val="6"/>
                <w:sz w:val="24"/>
                <w:highlight w:val="none"/>
              </w:rPr>
              <w:instrText xml:space="preserve">= 4 \* GB3</w:instrText>
            </w:r>
            <w:r>
              <w:rPr>
                <w:color w:val="auto"/>
                <w:spacing w:val="6"/>
                <w:sz w:val="24"/>
                <w:highlight w:val="none"/>
              </w:rPr>
              <w:instrText xml:space="preserve"> </w:instrText>
            </w:r>
            <w:r>
              <w:rPr>
                <w:color w:val="auto"/>
                <w:spacing w:val="6"/>
                <w:sz w:val="24"/>
                <w:highlight w:val="none"/>
              </w:rPr>
              <w:fldChar w:fldCharType="separate"/>
            </w:r>
            <w:r>
              <w:rPr>
                <w:rFonts w:hint="eastAsia"/>
                <w:color w:val="auto"/>
                <w:spacing w:val="6"/>
                <w:sz w:val="24"/>
                <w:highlight w:val="none"/>
              </w:rPr>
              <w:t>④</w:t>
            </w:r>
            <w:r>
              <w:rPr>
                <w:color w:val="auto"/>
                <w:spacing w:val="6"/>
                <w:sz w:val="24"/>
                <w:highlight w:val="none"/>
              </w:rPr>
              <w:fldChar w:fldCharType="end"/>
            </w:r>
            <w:r>
              <w:rPr>
                <w:rFonts w:hint="eastAsia"/>
                <w:color w:val="auto"/>
                <w:spacing w:val="6"/>
                <w:sz w:val="24"/>
                <w:highlight w:val="none"/>
              </w:rPr>
              <w:t>如果着火，采用消防水紧急灭火，情况严重立刻拨打119。</w:t>
            </w:r>
          </w:p>
          <w:p>
            <w:pPr>
              <w:spacing w:line="360" w:lineRule="auto"/>
              <w:ind w:firstLine="480" w:firstLineChars="200"/>
              <w:rPr>
                <w:color w:val="auto"/>
                <w:spacing w:val="6"/>
                <w:sz w:val="24"/>
                <w:highlight w:val="none"/>
              </w:rPr>
            </w:pPr>
            <w:r>
              <w:rPr>
                <w:rFonts w:hint="eastAsia"/>
                <w:color w:val="auto"/>
                <w:spacing w:val="6"/>
                <w:sz w:val="24"/>
                <w:highlight w:val="none"/>
              </w:rPr>
              <w:fldChar w:fldCharType="begin"/>
            </w:r>
            <w:r>
              <w:rPr>
                <w:rFonts w:hint="eastAsia"/>
                <w:color w:val="auto"/>
                <w:spacing w:val="6"/>
                <w:sz w:val="24"/>
                <w:highlight w:val="none"/>
              </w:rPr>
              <w:instrText xml:space="preserve"> = 5 \* GB3 \* MERGEFORMAT </w:instrText>
            </w:r>
            <w:r>
              <w:rPr>
                <w:rFonts w:hint="eastAsia"/>
                <w:color w:val="auto"/>
                <w:spacing w:val="6"/>
                <w:sz w:val="24"/>
                <w:highlight w:val="none"/>
              </w:rPr>
              <w:fldChar w:fldCharType="separate"/>
            </w:r>
            <w:r>
              <w:rPr>
                <w:rFonts w:hint="eastAsia" w:ascii="宋体" w:hAnsi="宋体" w:cs="宋体"/>
                <w:color w:val="auto"/>
                <w:spacing w:val="6"/>
                <w:sz w:val="24"/>
                <w:highlight w:val="none"/>
              </w:rPr>
              <w:t>⑤</w:t>
            </w:r>
            <w:r>
              <w:rPr>
                <w:rFonts w:hint="eastAsia"/>
                <w:color w:val="auto"/>
                <w:spacing w:val="6"/>
                <w:sz w:val="24"/>
                <w:highlight w:val="none"/>
              </w:rPr>
              <w:fldChar w:fldCharType="end"/>
            </w:r>
            <w:r>
              <w:rPr>
                <w:rFonts w:hint="eastAsia"/>
                <w:color w:val="auto"/>
                <w:spacing w:val="6"/>
                <w:sz w:val="24"/>
                <w:highlight w:val="none"/>
              </w:rPr>
              <w:t>在处理泄露事件时应穿戴好个人防护用品，包括安全帽、防护镜、手套及防护鞋。</w:t>
            </w:r>
          </w:p>
          <w:p>
            <w:pPr>
              <w:spacing w:line="360" w:lineRule="auto"/>
              <w:ind w:firstLine="480" w:firstLineChars="200"/>
              <w:rPr>
                <w:bCs/>
                <w:color w:val="auto"/>
                <w:sz w:val="24"/>
                <w:highlight w:val="none"/>
              </w:rPr>
            </w:pPr>
            <w:r>
              <w:rPr>
                <w:rFonts w:hint="eastAsia"/>
                <w:bCs/>
                <w:color w:val="auto"/>
                <w:sz w:val="24"/>
                <w:highlight w:val="none"/>
              </w:rPr>
              <w:t>建设单位在严格落实上述</w:t>
            </w:r>
            <w:r>
              <w:rPr>
                <w:rFonts w:hint="eastAsia"/>
                <w:color w:val="auto"/>
                <w:spacing w:val="6"/>
                <w:sz w:val="24"/>
                <w:highlight w:val="none"/>
              </w:rPr>
              <w:t>环境风险减缓及应急措施后</w:t>
            </w:r>
            <w:r>
              <w:rPr>
                <w:rFonts w:hint="eastAsia"/>
                <w:bCs/>
                <w:color w:val="auto"/>
                <w:sz w:val="24"/>
                <w:highlight w:val="none"/>
              </w:rPr>
              <w:t>，项目运行环境风险可控。</w:t>
            </w: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7.3 环保投资</w:t>
            </w:r>
          </w:p>
          <w:p>
            <w:pPr>
              <w:spacing w:line="360" w:lineRule="auto"/>
              <w:ind w:firstLine="480" w:firstLineChars="200"/>
              <w:rPr>
                <w:rFonts w:hAnsi="Calibri"/>
                <w:color w:val="auto"/>
                <w:sz w:val="24"/>
                <w:highlight w:val="none"/>
              </w:rPr>
            </w:pPr>
            <w:r>
              <w:rPr>
                <w:rFonts w:hint="eastAsia" w:hAnsi="Calibri"/>
                <w:color w:val="auto"/>
                <w:sz w:val="24"/>
                <w:highlight w:val="none"/>
              </w:rPr>
              <w:t>项目施工期、营运期环保投资情况见下表所示。</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7-10</w:t>
            </w:r>
            <w:r>
              <w:rPr>
                <w:b/>
                <w:color w:val="auto"/>
                <w:sz w:val="24"/>
                <w:highlight w:val="none"/>
              </w:rPr>
              <w:t xml:space="preserve">  环境保护设施及投资</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95"/>
              <w:gridCol w:w="815"/>
              <w:gridCol w:w="3629"/>
              <w:gridCol w:w="1627"/>
              <w:gridCol w:w="25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795" w:type="dxa"/>
                  <w:vAlign w:val="center"/>
                </w:tcPr>
                <w:p>
                  <w:pPr>
                    <w:widowControl/>
                    <w:spacing w:line="240" w:lineRule="exact"/>
                    <w:ind w:right="-108"/>
                    <w:jc w:val="center"/>
                    <w:textAlignment w:val="center"/>
                    <w:rPr>
                      <w:color w:val="auto"/>
                      <w:szCs w:val="21"/>
                      <w:highlight w:val="none"/>
                    </w:rPr>
                  </w:pPr>
                  <w:r>
                    <w:rPr>
                      <w:color w:val="auto"/>
                      <w:szCs w:val="21"/>
                      <w:highlight w:val="none"/>
                    </w:rPr>
                    <w:t>时段</w:t>
                  </w:r>
                </w:p>
              </w:tc>
              <w:tc>
                <w:tcPr>
                  <w:tcW w:w="815" w:type="dxa"/>
                  <w:vAlign w:val="center"/>
                </w:tcPr>
                <w:p>
                  <w:pPr>
                    <w:widowControl/>
                    <w:spacing w:line="240" w:lineRule="exact"/>
                    <w:ind w:right="-108"/>
                    <w:jc w:val="center"/>
                    <w:textAlignment w:val="center"/>
                    <w:rPr>
                      <w:color w:val="auto"/>
                      <w:szCs w:val="21"/>
                      <w:highlight w:val="none"/>
                    </w:rPr>
                  </w:pPr>
                  <w:r>
                    <w:rPr>
                      <w:color w:val="auto"/>
                      <w:szCs w:val="21"/>
                      <w:highlight w:val="none"/>
                    </w:rPr>
                    <w:t>污染源</w:t>
                  </w:r>
                </w:p>
              </w:tc>
              <w:tc>
                <w:tcPr>
                  <w:tcW w:w="3629" w:type="dxa"/>
                  <w:vAlign w:val="center"/>
                </w:tcPr>
                <w:p>
                  <w:pPr>
                    <w:widowControl/>
                    <w:spacing w:line="240" w:lineRule="exact"/>
                    <w:ind w:right="-108"/>
                    <w:jc w:val="center"/>
                    <w:textAlignment w:val="center"/>
                    <w:rPr>
                      <w:color w:val="auto"/>
                      <w:szCs w:val="21"/>
                      <w:highlight w:val="none"/>
                    </w:rPr>
                  </w:pPr>
                  <w:r>
                    <w:rPr>
                      <w:color w:val="auto"/>
                      <w:szCs w:val="21"/>
                      <w:highlight w:val="none"/>
                    </w:rPr>
                    <w:t>环保设施名称</w:t>
                  </w:r>
                </w:p>
              </w:tc>
              <w:tc>
                <w:tcPr>
                  <w:tcW w:w="1627" w:type="dxa"/>
                  <w:vAlign w:val="center"/>
                </w:tcPr>
                <w:p>
                  <w:pPr>
                    <w:widowControl/>
                    <w:spacing w:line="240" w:lineRule="exact"/>
                    <w:ind w:right="-108"/>
                    <w:jc w:val="center"/>
                    <w:textAlignment w:val="center"/>
                    <w:rPr>
                      <w:color w:val="auto"/>
                      <w:szCs w:val="21"/>
                      <w:highlight w:val="none"/>
                    </w:rPr>
                  </w:pPr>
                  <w:r>
                    <w:rPr>
                      <w:color w:val="auto"/>
                      <w:szCs w:val="21"/>
                      <w:highlight w:val="none"/>
                    </w:rPr>
                    <w:t>环保投资（万元）</w:t>
                  </w:r>
                </w:p>
              </w:tc>
              <w:tc>
                <w:tcPr>
                  <w:tcW w:w="2515" w:type="dxa"/>
                  <w:vAlign w:val="center"/>
                </w:tcPr>
                <w:p>
                  <w:pPr>
                    <w:widowControl/>
                    <w:spacing w:line="240" w:lineRule="exact"/>
                    <w:ind w:right="-108"/>
                    <w:jc w:val="center"/>
                    <w:textAlignment w:val="center"/>
                    <w:rPr>
                      <w:color w:val="auto"/>
                      <w:szCs w:val="21"/>
                      <w:highlight w:val="none"/>
                    </w:rPr>
                  </w:pPr>
                  <w:r>
                    <w:rPr>
                      <w:color w:val="auto"/>
                      <w:szCs w:val="21"/>
                      <w:highlight w:val="none"/>
                    </w:rPr>
                    <w:t>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795" w:type="dxa"/>
                  <w:vMerge w:val="restart"/>
                  <w:vAlign w:val="center"/>
                </w:tcPr>
                <w:p>
                  <w:pPr>
                    <w:widowControl/>
                    <w:spacing w:line="240" w:lineRule="exact"/>
                    <w:ind w:right="-108"/>
                    <w:jc w:val="center"/>
                    <w:textAlignment w:val="center"/>
                    <w:rPr>
                      <w:color w:val="auto"/>
                      <w:szCs w:val="21"/>
                      <w:highlight w:val="none"/>
                    </w:rPr>
                  </w:pPr>
                  <w:r>
                    <w:rPr>
                      <w:color w:val="auto"/>
                      <w:szCs w:val="21"/>
                      <w:highlight w:val="none"/>
                    </w:rPr>
                    <w:t>施工期</w:t>
                  </w:r>
                </w:p>
              </w:tc>
              <w:tc>
                <w:tcPr>
                  <w:tcW w:w="815" w:type="dxa"/>
                  <w:vAlign w:val="center"/>
                </w:tcPr>
                <w:p>
                  <w:pPr>
                    <w:widowControl/>
                    <w:spacing w:line="240" w:lineRule="exact"/>
                    <w:ind w:right="-108"/>
                    <w:jc w:val="center"/>
                    <w:textAlignment w:val="center"/>
                    <w:rPr>
                      <w:color w:val="auto"/>
                      <w:szCs w:val="21"/>
                      <w:highlight w:val="none"/>
                    </w:rPr>
                  </w:pPr>
                  <w:r>
                    <w:rPr>
                      <w:color w:val="auto"/>
                      <w:szCs w:val="21"/>
                      <w:highlight w:val="none"/>
                    </w:rPr>
                    <w:t>废水</w:t>
                  </w:r>
                </w:p>
              </w:tc>
              <w:tc>
                <w:tcPr>
                  <w:tcW w:w="3629" w:type="dxa"/>
                  <w:vAlign w:val="center"/>
                </w:tcPr>
                <w:p>
                  <w:pPr>
                    <w:widowControl/>
                    <w:spacing w:line="240" w:lineRule="exact"/>
                    <w:ind w:right="-108"/>
                    <w:jc w:val="center"/>
                    <w:textAlignment w:val="center"/>
                    <w:rPr>
                      <w:color w:val="auto"/>
                      <w:szCs w:val="21"/>
                      <w:highlight w:val="none"/>
                    </w:rPr>
                  </w:pPr>
                  <w:r>
                    <w:rPr>
                      <w:color w:val="auto"/>
                      <w:szCs w:val="21"/>
                      <w:highlight w:val="none"/>
                    </w:rPr>
                    <w:t>租用现有的生活设施、施工污水处理池</w:t>
                  </w:r>
                </w:p>
              </w:tc>
              <w:tc>
                <w:tcPr>
                  <w:tcW w:w="1627" w:type="dxa"/>
                  <w:vAlign w:val="center"/>
                </w:tcPr>
                <w:p>
                  <w:pPr>
                    <w:widowControl/>
                    <w:spacing w:line="240" w:lineRule="exact"/>
                    <w:ind w:right="-108"/>
                    <w:jc w:val="center"/>
                    <w:textAlignment w:val="center"/>
                    <w:rPr>
                      <w:color w:val="auto"/>
                      <w:szCs w:val="21"/>
                      <w:highlight w:val="none"/>
                    </w:rPr>
                  </w:pPr>
                  <w:r>
                    <w:rPr>
                      <w:color w:val="auto"/>
                      <w:szCs w:val="21"/>
                      <w:highlight w:val="none"/>
                    </w:rPr>
                    <w:t>3</w:t>
                  </w:r>
                </w:p>
              </w:tc>
              <w:tc>
                <w:tcPr>
                  <w:tcW w:w="2515" w:type="dxa"/>
                  <w:vAlign w:val="center"/>
                </w:tcPr>
                <w:p>
                  <w:pPr>
                    <w:widowControl/>
                    <w:spacing w:line="240" w:lineRule="exact"/>
                    <w:ind w:right="-108"/>
                    <w:jc w:val="center"/>
                    <w:textAlignment w:val="center"/>
                    <w:rPr>
                      <w:color w:val="auto"/>
                      <w:szCs w:val="21"/>
                      <w:highlight w:val="none"/>
                    </w:rPr>
                  </w:pPr>
                  <w:r>
                    <w:rPr>
                      <w:color w:val="auto"/>
                      <w:szCs w:val="21"/>
                      <w:highlight w:val="none"/>
                    </w:rPr>
                    <w:t>减缓施工期生活污水、施工废水污染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795" w:type="dxa"/>
                  <w:vMerge w:val="continue"/>
                  <w:vAlign w:val="center"/>
                </w:tcPr>
                <w:p>
                  <w:pPr>
                    <w:widowControl/>
                    <w:spacing w:line="240" w:lineRule="exact"/>
                    <w:ind w:right="-108"/>
                    <w:jc w:val="center"/>
                    <w:textAlignment w:val="center"/>
                    <w:rPr>
                      <w:color w:val="auto"/>
                      <w:szCs w:val="21"/>
                      <w:highlight w:val="none"/>
                    </w:rPr>
                  </w:pPr>
                </w:p>
              </w:tc>
              <w:tc>
                <w:tcPr>
                  <w:tcW w:w="815" w:type="dxa"/>
                  <w:vAlign w:val="center"/>
                </w:tcPr>
                <w:p>
                  <w:pPr>
                    <w:widowControl/>
                    <w:spacing w:line="240" w:lineRule="exact"/>
                    <w:ind w:right="-108"/>
                    <w:jc w:val="center"/>
                    <w:textAlignment w:val="center"/>
                    <w:rPr>
                      <w:color w:val="auto"/>
                      <w:szCs w:val="21"/>
                      <w:highlight w:val="none"/>
                    </w:rPr>
                  </w:pPr>
                  <w:r>
                    <w:rPr>
                      <w:color w:val="auto"/>
                      <w:szCs w:val="21"/>
                      <w:highlight w:val="none"/>
                    </w:rPr>
                    <w:t>废气</w:t>
                  </w:r>
                </w:p>
              </w:tc>
              <w:tc>
                <w:tcPr>
                  <w:tcW w:w="3629" w:type="dxa"/>
                  <w:vAlign w:val="center"/>
                </w:tcPr>
                <w:p>
                  <w:pPr>
                    <w:widowControl/>
                    <w:spacing w:line="240" w:lineRule="exact"/>
                    <w:ind w:right="-108"/>
                    <w:jc w:val="center"/>
                    <w:textAlignment w:val="center"/>
                    <w:rPr>
                      <w:color w:val="auto"/>
                      <w:szCs w:val="21"/>
                      <w:highlight w:val="none"/>
                    </w:rPr>
                  </w:pPr>
                  <w:r>
                    <w:rPr>
                      <w:color w:val="auto"/>
                      <w:szCs w:val="21"/>
                      <w:highlight w:val="none"/>
                    </w:rPr>
                    <w:t>洒水车、路面清扫车、围挡</w:t>
                  </w:r>
                </w:p>
              </w:tc>
              <w:tc>
                <w:tcPr>
                  <w:tcW w:w="1627" w:type="dxa"/>
                  <w:vAlign w:val="center"/>
                </w:tcPr>
                <w:p>
                  <w:pPr>
                    <w:widowControl/>
                    <w:spacing w:line="240" w:lineRule="exact"/>
                    <w:ind w:right="-108"/>
                    <w:jc w:val="center"/>
                    <w:textAlignment w:val="center"/>
                    <w:rPr>
                      <w:color w:val="auto"/>
                      <w:szCs w:val="21"/>
                      <w:highlight w:val="none"/>
                    </w:rPr>
                  </w:pPr>
                  <w:r>
                    <w:rPr>
                      <w:rFonts w:hint="eastAsia"/>
                      <w:color w:val="auto"/>
                      <w:szCs w:val="21"/>
                      <w:highlight w:val="none"/>
                    </w:rPr>
                    <w:t>20</w:t>
                  </w:r>
                </w:p>
              </w:tc>
              <w:tc>
                <w:tcPr>
                  <w:tcW w:w="2515" w:type="dxa"/>
                  <w:vAlign w:val="center"/>
                </w:tcPr>
                <w:p>
                  <w:pPr>
                    <w:widowControl/>
                    <w:spacing w:line="240" w:lineRule="exact"/>
                    <w:ind w:right="-108"/>
                    <w:jc w:val="center"/>
                    <w:textAlignment w:val="center"/>
                    <w:rPr>
                      <w:color w:val="auto"/>
                      <w:szCs w:val="21"/>
                      <w:highlight w:val="none"/>
                    </w:rPr>
                  </w:pPr>
                  <w:r>
                    <w:rPr>
                      <w:color w:val="auto"/>
                      <w:szCs w:val="21"/>
                      <w:highlight w:val="none"/>
                    </w:rPr>
                    <w:t>减少施工扬尘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795" w:type="dxa"/>
                  <w:vMerge w:val="continue"/>
                  <w:vAlign w:val="center"/>
                </w:tcPr>
                <w:p>
                  <w:pPr>
                    <w:widowControl/>
                    <w:spacing w:line="240" w:lineRule="exact"/>
                    <w:ind w:right="-108"/>
                    <w:jc w:val="center"/>
                    <w:textAlignment w:val="center"/>
                    <w:rPr>
                      <w:color w:val="auto"/>
                      <w:szCs w:val="21"/>
                      <w:highlight w:val="none"/>
                    </w:rPr>
                  </w:pPr>
                </w:p>
              </w:tc>
              <w:tc>
                <w:tcPr>
                  <w:tcW w:w="815" w:type="dxa"/>
                  <w:vAlign w:val="center"/>
                </w:tcPr>
                <w:p>
                  <w:pPr>
                    <w:widowControl/>
                    <w:spacing w:line="240" w:lineRule="exact"/>
                    <w:ind w:right="-108"/>
                    <w:jc w:val="center"/>
                    <w:textAlignment w:val="center"/>
                    <w:rPr>
                      <w:color w:val="auto"/>
                      <w:szCs w:val="21"/>
                      <w:highlight w:val="none"/>
                    </w:rPr>
                  </w:pPr>
                  <w:r>
                    <w:rPr>
                      <w:color w:val="auto"/>
                      <w:szCs w:val="21"/>
                      <w:highlight w:val="none"/>
                    </w:rPr>
                    <w:t>固废</w:t>
                  </w:r>
                </w:p>
              </w:tc>
              <w:tc>
                <w:tcPr>
                  <w:tcW w:w="3629" w:type="dxa"/>
                  <w:vAlign w:val="center"/>
                </w:tcPr>
                <w:p>
                  <w:pPr>
                    <w:widowControl/>
                    <w:spacing w:line="240" w:lineRule="exact"/>
                    <w:ind w:right="-108"/>
                    <w:jc w:val="center"/>
                    <w:textAlignment w:val="center"/>
                    <w:rPr>
                      <w:color w:val="auto"/>
                      <w:szCs w:val="21"/>
                      <w:highlight w:val="none"/>
                    </w:rPr>
                  </w:pPr>
                  <w:r>
                    <w:rPr>
                      <w:color w:val="auto"/>
                      <w:szCs w:val="21"/>
                      <w:highlight w:val="none"/>
                    </w:rPr>
                    <w:t>施工期建筑垃圾的运输与处置等</w:t>
                  </w:r>
                </w:p>
              </w:tc>
              <w:tc>
                <w:tcPr>
                  <w:tcW w:w="1627" w:type="dxa"/>
                  <w:vAlign w:val="center"/>
                </w:tcPr>
                <w:p>
                  <w:pPr>
                    <w:widowControl/>
                    <w:spacing w:line="240" w:lineRule="exact"/>
                    <w:ind w:right="-108"/>
                    <w:jc w:val="center"/>
                    <w:textAlignment w:val="center"/>
                    <w:rPr>
                      <w:color w:val="auto"/>
                      <w:szCs w:val="21"/>
                      <w:highlight w:val="none"/>
                    </w:rPr>
                  </w:pPr>
                  <w:r>
                    <w:rPr>
                      <w:rFonts w:hint="eastAsia"/>
                      <w:color w:val="auto"/>
                      <w:szCs w:val="21"/>
                      <w:highlight w:val="none"/>
                    </w:rPr>
                    <w:t>6</w:t>
                  </w:r>
                </w:p>
              </w:tc>
              <w:tc>
                <w:tcPr>
                  <w:tcW w:w="2515" w:type="dxa"/>
                  <w:vAlign w:val="center"/>
                </w:tcPr>
                <w:p>
                  <w:pPr>
                    <w:widowControl/>
                    <w:spacing w:line="240" w:lineRule="exact"/>
                    <w:ind w:right="-108"/>
                    <w:jc w:val="center"/>
                    <w:textAlignment w:val="center"/>
                    <w:rPr>
                      <w:color w:val="auto"/>
                      <w:szCs w:val="21"/>
                      <w:highlight w:val="none"/>
                    </w:rPr>
                  </w:pPr>
                  <w:r>
                    <w:rPr>
                      <w:color w:val="auto"/>
                      <w:szCs w:val="21"/>
                      <w:highlight w:val="none"/>
                    </w:rPr>
                    <w:t>妥善处置建筑垃圾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795" w:type="dxa"/>
                  <w:vMerge w:val="restart"/>
                  <w:vAlign w:val="center"/>
                </w:tcPr>
                <w:p>
                  <w:pPr>
                    <w:widowControl/>
                    <w:spacing w:line="240" w:lineRule="exact"/>
                    <w:ind w:right="-108"/>
                    <w:jc w:val="center"/>
                    <w:textAlignment w:val="center"/>
                    <w:rPr>
                      <w:color w:val="auto"/>
                      <w:szCs w:val="21"/>
                      <w:highlight w:val="none"/>
                    </w:rPr>
                  </w:pPr>
                  <w:r>
                    <w:rPr>
                      <w:color w:val="auto"/>
                      <w:szCs w:val="21"/>
                      <w:highlight w:val="none"/>
                    </w:rPr>
                    <w:t>营运期</w:t>
                  </w:r>
                </w:p>
              </w:tc>
              <w:tc>
                <w:tcPr>
                  <w:tcW w:w="815" w:type="dxa"/>
                  <w:vAlign w:val="center"/>
                </w:tcPr>
                <w:p>
                  <w:pPr>
                    <w:widowControl/>
                    <w:spacing w:line="240" w:lineRule="exact"/>
                    <w:ind w:right="-108"/>
                    <w:jc w:val="center"/>
                    <w:textAlignment w:val="center"/>
                    <w:rPr>
                      <w:color w:val="auto"/>
                      <w:szCs w:val="21"/>
                      <w:highlight w:val="none"/>
                    </w:rPr>
                  </w:pPr>
                  <w:r>
                    <w:rPr>
                      <w:color w:val="auto"/>
                      <w:szCs w:val="21"/>
                      <w:highlight w:val="none"/>
                    </w:rPr>
                    <w:t>废水</w:t>
                  </w:r>
                </w:p>
              </w:tc>
              <w:tc>
                <w:tcPr>
                  <w:tcW w:w="3629" w:type="dxa"/>
                  <w:vAlign w:val="center"/>
                </w:tcPr>
                <w:p>
                  <w:pPr>
                    <w:widowControl/>
                    <w:spacing w:line="240" w:lineRule="exact"/>
                    <w:ind w:right="-108"/>
                    <w:jc w:val="center"/>
                    <w:textAlignment w:val="center"/>
                    <w:rPr>
                      <w:color w:val="auto"/>
                      <w:szCs w:val="21"/>
                      <w:highlight w:val="none"/>
                    </w:rPr>
                  </w:pPr>
                  <w:r>
                    <w:rPr>
                      <w:color w:val="auto"/>
                      <w:szCs w:val="21"/>
                      <w:highlight w:val="none"/>
                    </w:rPr>
                    <w:t>隔油池、化粪池</w:t>
                  </w:r>
                </w:p>
              </w:tc>
              <w:tc>
                <w:tcPr>
                  <w:tcW w:w="1627" w:type="dxa"/>
                  <w:vAlign w:val="center"/>
                </w:tcPr>
                <w:p>
                  <w:pPr>
                    <w:widowControl/>
                    <w:spacing w:line="240" w:lineRule="exact"/>
                    <w:ind w:right="-108"/>
                    <w:jc w:val="center"/>
                    <w:textAlignment w:val="center"/>
                    <w:rPr>
                      <w:color w:val="auto"/>
                      <w:szCs w:val="21"/>
                      <w:highlight w:val="none"/>
                    </w:rPr>
                  </w:pPr>
                  <w:r>
                    <w:rPr>
                      <w:color w:val="auto"/>
                      <w:szCs w:val="21"/>
                      <w:highlight w:val="none"/>
                    </w:rPr>
                    <w:t>20</w:t>
                  </w:r>
                </w:p>
              </w:tc>
              <w:tc>
                <w:tcPr>
                  <w:tcW w:w="2515" w:type="dxa"/>
                  <w:vAlign w:val="center"/>
                </w:tcPr>
                <w:p>
                  <w:pPr>
                    <w:widowControl/>
                    <w:spacing w:line="240" w:lineRule="exact"/>
                    <w:ind w:right="-108"/>
                    <w:jc w:val="center"/>
                    <w:textAlignment w:val="center"/>
                    <w:rPr>
                      <w:color w:val="auto"/>
                      <w:szCs w:val="21"/>
                      <w:highlight w:val="none"/>
                    </w:rPr>
                  </w:pPr>
                  <w:r>
                    <w:rPr>
                      <w:color w:val="auto"/>
                      <w:szCs w:val="21"/>
                      <w:highlight w:val="none"/>
                    </w:rPr>
                    <w:t>满足《污水综合排放标准》（GB8978-96）表4中三级排放标准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795" w:type="dxa"/>
                  <w:vMerge w:val="continue"/>
                  <w:vAlign w:val="center"/>
                </w:tcPr>
                <w:p>
                  <w:pPr>
                    <w:widowControl/>
                    <w:spacing w:line="240" w:lineRule="exact"/>
                    <w:ind w:right="-108"/>
                    <w:jc w:val="center"/>
                    <w:textAlignment w:val="center"/>
                    <w:rPr>
                      <w:color w:val="auto"/>
                      <w:szCs w:val="21"/>
                      <w:highlight w:val="none"/>
                    </w:rPr>
                  </w:pPr>
                </w:p>
              </w:tc>
              <w:tc>
                <w:tcPr>
                  <w:tcW w:w="815" w:type="dxa"/>
                  <w:vAlign w:val="center"/>
                </w:tcPr>
                <w:p>
                  <w:pPr>
                    <w:widowControl/>
                    <w:spacing w:line="240" w:lineRule="exact"/>
                    <w:ind w:right="-108"/>
                    <w:jc w:val="center"/>
                    <w:textAlignment w:val="center"/>
                    <w:rPr>
                      <w:color w:val="auto"/>
                      <w:szCs w:val="21"/>
                      <w:highlight w:val="none"/>
                    </w:rPr>
                  </w:pPr>
                  <w:r>
                    <w:rPr>
                      <w:color w:val="auto"/>
                      <w:szCs w:val="21"/>
                      <w:highlight w:val="none"/>
                    </w:rPr>
                    <w:t>废气</w:t>
                  </w:r>
                </w:p>
              </w:tc>
              <w:tc>
                <w:tcPr>
                  <w:tcW w:w="3629" w:type="dxa"/>
                  <w:vAlign w:val="center"/>
                </w:tcPr>
                <w:p>
                  <w:pPr>
                    <w:widowControl/>
                    <w:spacing w:line="240" w:lineRule="exact"/>
                    <w:ind w:right="-108"/>
                    <w:jc w:val="center"/>
                    <w:textAlignment w:val="center"/>
                    <w:rPr>
                      <w:color w:val="auto"/>
                      <w:szCs w:val="21"/>
                      <w:highlight w:val="none"/>
                    </w:rPr>
                  </w:pPr>
                  <w:r>
                    <w:rPr>
                      <w:rFonts w:hint="eastAsia"/>
                      <w:color w:val="auto"/>
                      <w:szCs w:val="21"/>
                      <w:highlight w:val="none"/>
                    </w:rPr>
                    <w:t>淬火油雾净化器、食堂油烟净化器、热处理废气排气筒、清洗废气排气筒</w:t>
                  </w:r>
                </w:p>
              </w:tc>
              <w:tc>
                <w:tcPr>
                  <w:tcW w:w="1627" w:type="dxa"/>
                  <w:vAlign w:val="center"/>
                </w:tcPr>
                <w:p>
                  <w:pPr>
                    <w:widowControl/>
                    <w:spacing w:line="240" w:lineRule="exact"/>
                    <w:ind w:right="-108"/>
                    <w:jc w:val="center"/>
                    <w:textAlignment w:val="center"/>
                    <w:rPr>
                      <w:color w:val="auto"/>
                      <w:szCs w:val="21"/>
                      <w:highlight w:val="none"/>
                    </w:rPr>
                  </w:pPr>
                  <w:r>
                    <w:rPr>
                      <w:rFonts w:hint="eastAsia"/>
                      <w:color w:val="auto"/>
                      <w:szCs w:val="21"/>
                      <w:highlight w:val="none"/>
                    </w:rPr>
                    <w:t>30</w:t>
                  </w:r>
                </w:p>
              </w:tc>
              <w:tc>
                <w:tcPr>
                  <w:tcW w:w="2515" w:type="dxa"/>
                  <w:vAlign w:val="center"/>
                </w:tcPr>
                <w:p>
                  <w:pPr>
                    <w:widowControl/>
                    <w:spacing w:line="240" w:lineRule="exact"/>
                    <w:ind w:right="-108"/>
                    <w:jc w:val="center"/>
                    <w:textAlignment w:val="center"/>
                    <w:rPr>
                      <w:color w:val="auto"/>
                      <w:szCs w:val="21"/>
                      <w:highlight w:val="none"/>
                    </w:rPr>
                  </w:pPr>
                  <w:r>
                    <w:rPr>
                      <w:color w:val="auto"/>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795" w:type="dxa"/>
                  <w:vMerge w:val="continue"/>
                  <w:vAlign w:val="center"/>
                </w:tcPr>
                <w:p>
                  <w:pPr>
                    <w:widowControl/>
                    <w:spacing w:line="240" w:lineRule="exact"/>
                    <w:ind w:right="-108"/>
                    <w:jc w:val="center"/>
                    <w:textAlignment w:val="center"/>
                    <w:rPr>
                      <w:color w:val="auto"/>
                      <w:szCs w:val="21"/>
                      <w:highlight w:val="none"/>
                    </w:rPr>
                  </w:pPr>
                </w:p>
              </w:tc>
              <w:tc>
                <w:tcPr>
                  <w:tcW w:w="815" w:type="dxa"/>
                  <w:vAlign w:val="center"/>
                </w:tcPr>
                <w:p>
                  <w:pPr>
                    <w:widowControl/>
                    <w:spacing w:line="240" w:lineRule="exact"/>
                    <w:ind w:right="-108"/>
                    <w:jc w:val="center"/>
                    <w:textAlignment w:val="center"/>
                    <w:rPr>
                      <w:color w:val="auto"/>
                      <w:szCs w:val="21"/>
                      <w:highlight w:val="none"/>
                    </w:rPr>
                  </w:pPr>
                  <w:r>
                    <w:rPr>
                      <w:color w:val="auto"/>
                      <w:szCs w:val="21"/>
                      <w:highlight w:val="none"/>
                    </w:rPr>
                    <w:t>固废</w:t>
                  </w:r>
                </w:p>
              </w:tc>
              <w:tc>
                <w:tcPr>
                  <w:tcW w:w="3629" w:type="dxa"/>
                  <w:vAlign w:val="center"/>
                </w:tcPr>
                <w:p>
                  <w:pPr>
                    <w:widowControl/>
                    <w:spacing w:line="240" w:lineRule="exact"/>
                    <w:ind w:right="-108"/>
                    <w:jc w:val="center"/>
                    <w:textAlignment w:val="center"/>
                    <w:rPr>
                      <w:color w:val="auto"/>
                      <w:szCs w:val="21"/>
                      <w:highlight w:val="none"/>
                    </w:rPr>
                  </w:pPr>
                  <w:r>
                    <w:rPr>
                      <w:rFonts w:hint="eastAsia"/>
                      <w:color w:val="auto"/>
                      <w:szCs w:val="21"/>
                      <w:highlight w:val="none"/>
                    </w:rPr>
                    <w:t>危险固废专用容器及暂存场、一般工业</w:t>
                  </w:r>
                </w:p>
                <w:p>
                  <w:pPr>
                    <w:widowControl/>
                    <w:spacing w:line="240" w:lineRule="exact"/>
                    <w:ind w:right="-108"/>
                    <w:jc w:val="center"/>
                    <w:textAlignment w:val="center"/>
                    <w:rPr>
                      <w:color w:val="auto"/>
                      <w:szCs w:val="21"/>
                      <w:highlight w:val="none"/>
                    </w:rPr>
                  </w:pPr>
                  <w:r>
                    <w:rPr>
                      <w:rFonts w:hint="eastAsia"/>
                      <w:color w:val="auto"/>
                      <w:szCs w:val="21"/>
                      <w:highlight w:val="none"/>
                    </w:rPr>
                    <w:t>固废暂存场、生活垃圾收集桶等</w:t>
                  </w:r>
                </w:p>
              </w:tc>
              <w:tc>
                <w:tcPr>
                  <w:tcW w:w="1627" w:type="dxa"/>
                  <w:vAlign w:val="center"/>
                </w:tcPr>
                <w:p>
                  <w:pPr>
                    <w:widowControl/>
                    <w:spacing w:line="240" w:lineRule="exact"/>
                    <w:ind w:right="-108"/>
                    <w:jc w:val="center"/>
                    <w:textAlignment w:val="center"/>
                    <w:rPr>
                      <w:color w:val="auto"/>
                      <w:szCs w:val="21"/>
                      <w:highlight w:val="none"/>
                    </w:rPr>
                  </w:pPr>
                  <w:r>
                    <w:rPr>
                      <w:rFonts w:hint="eastAsia"/>
                      <w:color w:val="auto"/>
                      <w:szCs w:val="21"/>
                      <w:highlight w:val="none"/>
                    </w:rPr>
                    <w:t>15</w:t>
                  </w:r>
                </w:p>
              </w:tc>
              <w:tc>
                <w:tcPr>
                  <w:tcW w:w="2515" w:type="dxa"/>
                  <w:vAlign w:val="center"/>
                </w:tcPr>
                <w:p>
                  <w:pPr>
                    <w:widowControl/>
                    <w:spacing w:line="240" w:lineRule="exact"/>
                    <w:ind w:right="-108"/>
                    <w:jc w:val="center"/>
                    <w:textAlignment w:val="center"/>
                    <w:rPr>
                      <w:color w:val="auto"/>
                      <w:szCs w:val="21"/>
                      <w:highlight w:val="none"/>
                    </w:rPr>
                  </w:pPr>
                  <w:r>
                    <w:rPr>
                      <w:color w:val="auto"/>
                      <w:szCs w:val="21"/>
                      <w:highlight w:val="none"/>
                    </w:rPr>
                    <w:t>有效收集、处置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795" w:type="dxa"/>
                  <w:vMerge w:val="continue"/>
                  <w:vAlign w:val="center"/>
                </w:tcPr>
                <w:p>
                  <w:pPr>
                    <w:widowControl/>
                    <w:spacing w:line="240" w:lineRule="exact"/>
                    <w:ind w:right="-108"/>
                    <w:jc w:val="center"/>
                    <w:textAlignment w:val="center"/>
                    <w:rPr>
                      <w:color w:val="auto"/>
                      <w:szCs w:val="21"/>
                      <w:highlight w:val="none"/>
                    </w:rPr>
                  </w:pPr>
                </w:p>
              </w:tc>
              <w:tc>
                <w:tcPr>
                  <w:tcW w:w="815" w:type="dxa"/>
                  <w:vAlign w:val="center"/>
                </w:tcPr>
                <w:p>
                  <w:pPr>
                    <w:widowControl/>
                    <w:spacing w:line="240" w:lineRule="exact"/>
                    <w:ind w:right="-108"/>
                    <w:jc w:val="center"/>
                    <w:textAlignment w:val="center"/>
                    <w:rPr>
                      <w:color w:val="auto"/>
                      <w:szCs w:val="21"/>
                      <w:highlight w:val="none"/>
                    </w:rPr>
                  </w:pPr>
                  <w:r>
                    <w:rPr>
                      <w:color w:val="auto"/>
                      <w:szCs w:val="21"/>
                      <w:highlight w:val="none"/>
                    </w:rPr>
                    <w:t>噪声</w:t>
                  </w:r>
                </w:p>
              </w:tc>
              <w:tc>
                <w:tcPr>
                  <w:tcW w:w="3629" w:type="dxa"/>
                  <w:vAlign w:val="center"/>
                </w:tcPr>
                <w:p>
                  <w:pPr>
                    <w:widowControl/>
                    <w:spacing w:line="240" w:lineRule="exact"/>
                    <w:ind w:right="-108"/>
                    <w:jc w:val="center"/>
                    <w:textAlignment w:val="center"/>
                    <w:rPr>
                      <w:color w:val="auto"/>
                      <w:szCs w:val="21"/>
                      <w:highlight w:val="none"/>
                    </w:rPr>
                  </w:pPr>
                  <w:r>
                    <w:rPr>
                      <w:color w:val="auto"/>
                      <w:szCs w:val="21"/>
                      <w:highlight w:val="none"/>
                    </w:rPr>
                    <w:t>选取低噪声设备、基础减振、墙体隔声</w:t>
                  </w:r>
                </w:p>
              </w:tc>
              <w:tc>
                <w:tcPr>
                  <w:tcW w:w="1627" w:type="dxa"/>
                  <w:vAlign w:val="center"/>
                </w:tcPr>
                <w:p>
                  <w:pPr>
                    <w:widowControl/>
                    <w:spacing w:line="240" w:lineRule="exact"/>
                    <w:ind w:right="-108"/>
                    <w:jc w:val="center"/>
                    <w:textAlignment w:val="center"/>
                    <w:rPr>
                      <w:color w:val="auto"/>
                      <w:szCs w:val="21"/>
                      <w:highlight w:val="none"/>
                    </w:rPr>
                  </w:pPr>
                  <w:r>
                    <w:rPr>
                      <w:rFonts w:hint="eastAsia"/>
                      <w:color w:val="auto"/>
                      <w:szCs w:val="21"/>
                      <w:highlight w:val="none"/>
                    </w:rPr>
                    <w:t>50</w:t>
                  </w:r>
                </w:p>
              </w:tc>
              <w:tc>
                <w:tcPr>
                  <w:tcW w:w="2515" w:type="dxa"/>
                  <w:vAlign w:val="center"/>
                </w:tcPr>
                <w:p>
                  <w:pPr>
                    <w:widowControl/>
                    <w:spacing w:line="240" w:lineRule="exact"/>
                    <w:ind w:right="-108"/>
                    <w:jc w:val="center"/>
                    <w:textAlignment w:val="center"/>
                    <w:rPr>
                      <w:color w:val="auto"/>
                      <w:szCs w:val="21"/>
                      <w:highlight w:val="none"/>
                    </w:rPr>
                  </w:pPr>
                  <w:r>
                    <w:rPr>
                      <w:color w:val="auto"/>
                      <w:szCs w:val="21"/>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795" w:type="dxa"/>
                  <w:vMerge w:val="continue"/>
                  <w:vAlign w:val="center"/>
                </w:tcPr>
                <w:p>
                  <w:pPr>
                    <w:widowControl/>
                    <w:spacing w:line="240" w:lineRule="exact"/>
                    <w:ind w:right="-108"/>
                    <w:jc w:val="center"/>
                    <w:textAlignment w:val="center"/>
                    <w:rPr>
                      <w:color w:val="auto"/>
                      <w:szCs w:val="21"/>
                      <w:highlight w:val="none"/>
                    </w:rPr>
                  </w:pPr>
                </w:p>
              </w:tc>
              <w:tc>
                <w:tcPr>
                  <w:tcW w:w="815" w:type="dxa"/>
                  <w:vAlign w:val="center"/>
                </w:tcPr>
                <w:p>
                  <w:pPr>
                    <w:widowControl/>
                    <w:spacing w:line="240" w:lineRule="exact"/>
                    <w:ind w:right="-108"/>
                    <w:jc w:val="center"/>
                    <w:textAlignment w:val="center"/>
                    <w:rPr>
                      <w:color w:val="auto"/>
                      <w:szCs w:val="21"/>
                      <w:highlight w:val="none"/>
                    </w:rPr>
                  </w:pPr>
                  <w:r>
                    <w:rPr>
                      <w:color w:val="auto"/>
                      <w:szCs w:val="21"/>
                      <w:highlight w:val="none"/>
                    </w:rPr>
                    <w:t>/</w:t>
                  </w:r>
                </w:p>
              </w:tc>
              <w:tc>
                <w:tcPr>
                  <w:tcW w:w="3629" w:type="dxa"/>
                  <w:vAlign w:val="center"/>
                </w:tcPr>
                <w:p>
                  <w:pPr>
                    <w:widowControl/>
                    <w:spacing w:line="240" w:lineRule="exact"/>
                    <w:ind w:right="-108"/>
                    <w:jc w:val="center"/>
                    <w:textAlignment w:val="center"/>
                    <w:rPr>
                      <w:color w:val="auto"/>
                      <w:szCs w:val="21"/>
                      <w:highlight w:val="none"/>
                    </w:rPr>
                  </w:pPr>
                  <w:r>
                    <w:rPr>
                      <w:color w:val="auto"/>
                      <w:szCs w:val="21"/>
                      <w:highlight w:val="none"/>
                    </w:rPr>
                    <w:t>场区绿化</w:t>
                  </w:r>
                </w:p>
              </w:tc>
              <w:tc>
                <w:tcPr>
                  <w:tcW w:w="1627" w:type="dxa"/>
                  <w:vAlign w:val="center"/>
                </w:tcPr>
                <w:p>
                  <w:pPr>
                    <w:widowControl/>
                    <w:spacing w:line="240" w:lineRule="exact"/>
                    <w:ind w:right="-108"/>
                    <w:jc w:val="center"/>
                    <w:textAlignment w:val="center"/>
                    <w:rPr>
                      <w:color w:val="auto"/>
                      <w:szCs w:val="21"/>
                      <w:highlight w:val="none"/>
                    </w:rPr>
                  </w:pPr>
                  <w:r>
                    <w:rPr>
                      <w:rFonts w:hint="eastAsia"/>
                      <w:color w:val="auto"/>
                      <w:szCs w:val="21"/>
                      <w:highlight w:val="none"/>
                    </w:rPr>
                    <w:t>23</w:t>
                  </w:r>
                </w:p>
              </w:tc>
              <w:tc>
                <w:tcPr>
                  <w:tcW w:w="2515" w:type="dxa"/>
                  <w:vAlign w:val="center"/>
                </w:tcPr>
                <w:p>
                  <w:pPr>
                    <w:widowControl/>
                    <w:spacing w:line="240" w:lineRule="exact"/>
                    <w:ind w:right="-108"/>
                    <w:jc w:val="center"/>
                    <w:textAlignment w:val="center"/>
                    <w:rPr>
                      <w:color w:val="auto"/>
                      <w:szCs w:val="21"/>
                      <w:highlight w:val="none"/>
                      <w:vertAlign w:val="superscript"/>
                    </w:rPr>
                  </w:pPr>
                  <w:r>
                    <w:rPr>
                      <w:color w:val="auto"/>
                      <w:szCs w:val="21"/>
                      <w:highlight w:val="none"/>
                    </w:rPr>
                    <w:t>绿化面积达</w:t>
                  </w:r>
                  <w:r>
                    <w:rPr>
                      <w:rFonts w:hint="eastAsia"/>
                      <w:color w:val="auto"/>
                      <w:spacing w:val="6"/>
                      <w:szCs w:val="21"/>
                      <w:highlight w:val="none"/>
                    </w:rPr>
                    <w:t>15010.66</w:t>
                  </w:r>
                  <w:r>
                    <w:rPr>
                      <w:color w:val="auto"/>
                      <w:spacing w:val="6"/>
                      <w:szCs w:val="21"/>
                      <w:highlight w:val="none"/>
                    </w:rPr>
                    <w:t>m</w:t>
                  </w:r>
                  <w:r>
                    <w:rPr>
                      <w:color w:val="auto"/>
                      <w:spacing w:val="6"/>
                      <w:szCs w:val="21"/>
                      <w:highlight w:val="none"/>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54" w:hRule="atLeast"/>
                <w:jc w:val="center"/>
              </w:trPr>
              <w:tc>
                <w:tcPr>
                  <w:tcW w:w="5239" w:type="dxa"/>
                  <w:gridSpan w:val="3"/>
                  <w:vAlign w:val="center"/>
                </w:tcPr>
                <w:p>
                  <w:pPr>
                    <w:widowControl/>
                    <w:spacing w:line="240" w:lineRule="exact"/>
                    <w:ind w:right="-108"/>
                    <w:jc w:val="center"/>
                    <w:textAlignment w:val="center"/>
                    <w:rPr>
                      <w:color w:val="auto"/>
                      <w:szCs w:val="21"/>
                      <w:highlight w:val="none"/>
                    </w:rPr>
                  </w:pPr>
                  <w:r>
                    <w:rPr>
                      <w:color w:val="auto"/>
                      <w:szCs w:val="21"/>
                      <w:highlight w:val="none"/>
                    </w:rPr>
                    <w:t>合计</w:t>
                  </w:r>
                </w:p>
              </w:tc>
              <w:tc>
                <w:tcPr>
                  <w:tcW w:w="1627" w:type="dxa"/>
                  <w:vAlign w:val="center"/>
                </w:tcPr>
                <w:p>
                  <w:pPr>
                    <w:widowControl/>
                    <w:spacing w:line="240" w:lineRule="exact"/>
                    <w:ind w:right="-108"/>
                    <w:jc w:val="center"/>
                    <w:textAlignment w:val="center"/>
                    <w:rPr>
                      <w:color w:val="auto"/>
                      <w:szCs w:val="21"/>
                      <w:highlight w:val="none"/>
                    </w:rPr>
                  </w:pPr>
                  <w:r>
                    <w:rPr>
                      <w:rFonts w:hint="eastAsia"/>
                      <w:color w:val="auto"/>
                      <w:szCs w:val="21"/>
                      <w:highlight w:val="none"/>
                    </w:rPr>
                    <w:t>167</w:t>
                  </w:r>
                </w:p>
              </w:tc>
              <w:tc>
                <w:tcPr>
                  <w:tcW w:w="2515" w:type="dxa"/>
                  <w:vAlign w:val="center"/>
                </w:tcPr>
                <w:p>
                  <w:pPr>
                    <w:widowControl/>
                    <w:spacing w:line="240" w:lineRule="exact"/>
                    <w:ind w:right="-108"/>
                    <w:jc w:val="center"/>
                    <w:textAlignment w:val="center"/>
                    <w:rPr>
                      <w:color w:val="auto"/>
                      <w:szCs w:val="21"/>
                      <w:highlight w:val="none"/>
                    </w:rPr>
                  </w:pPr>
                  <w:r>
                    <w:rPr>
                      <w:color w:val="auto"/>
                      <w:szCs w:val="21"/>
                      <w:highlight w:val="none"/>
                    </w:rPr>
                    <w:t>/</w:t>
                  </w:r>
                </w:p>
              </w:tc>
            </w:tr>
          </w:tbl>
          <w:p>
            <w:pPr>
              <w:spacing w:line="360" w:lineRule="auto"/>
              <w:ind w:firstLine="480" w:firstLineChars="200"/>
              <w:rPr>
                <w:bCs/>
                <w:color w:val="auto"/>
                <w:sz w:val="24"/>
                <w:highlight w:val="none"/>
              </w:rPr>
            </w:pP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7.4 建设项目环保竣工检查、验收内容</w:t>
            </w:r>
          </w:p>
          <w:p>
            <w:pPr>
              <w:spacing w:line="360" w:lineRule="auto"/>
              <w:ind w:firstLine="480" w:firstLineChars="200"/>
              <w:rPr>
                <w:rFonts w:hAnsi="Calibri"/>
                <w:color w:val="auto"/>
                <w:sz w:val="24"/>
                <w:highlight w:val="none"/>
              </w:rPr>
            </w:pPr>
            <w:r>
              <w:rPr>
                <w:rFonts w:hint="eastAsia" w:hAnsi="Calibri"/>
                <w:color w:val="auto"/>
                <w:sz w:val="24"/>
                <w:highlight w:val="none"/>
              </w:rPr>
              <w:t>本项目环保竣工检查、验收的主要内容和管理目标见下表7-11。</w:t>
            </w:r>
          </w:p>
          <w:p>
            <w:pPr>
              <w:snapToGrid w:val="0"/>
              <w:spacing w:line="360" w:lineRule="auto"/>
              <w:jc w:val="center"/>
              <w:rPr>
                <w:b/>
                <w:color w:val="auto"/>
                <w:sz w:val="24"/>
                <w:highlight w:val="none"/>
              </w:rPr>
            </w:pPr>
            <w:r>
              <w:rPr>
                <w:rFonts w:hint="eastAsia"/>
                <w:b/>
                <w:color w:val="auto"/>
                <w:sz w:val="24"/>
                <w:highlight w:val="none"/>
              </w:rPr>
              <w:t>表7-11  项目环保竣工检查、验收的主要内容和管理目标一览表</w:t>
            </w:r>
          </w:p>
          <w:tbl>
            <w:tblPr>
              <w:tblStyle w:val="29"/>
              <w:tblW w:w="9217"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5"/>
              <w:gridCol w:w="1833"/>
              <w:gridCol w:w="3337"/>
              <w:gridCol w:w="2001"/>
              <w:gridCol w:w="12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环境要素</w:t>
                  </w:r>
                </w:p>
              </w:tc>
              <w:tc>
                <w:tcPr>
                  <w:tcW w:w="1833" w:type="dxa"/>
                  <w:vAlign w:val="center"/>
                </w:tcPr>
                <w:p>
                  <w:pPr>
                    <w:widowControl/>
                    <w:spacing w:line="240" w:lineRule="exact"/>
                    <w:jc w:val="center"/>
                    <w:textAlignment w:val="center"/>
                    <w:rPr>
                      <w:color w:val="auto"/>
                      <w:szCs w:val="21"/>
                      <w:highlight w:val="none"/>
                    </w:rPr>
                  </w:pPr>
                  <w:r>
                    <w:rPr>
                      <w:color w:val="auto"/>
                      <w:szCs w:val="21"/>
                      <w:highlight w:val="none"/>
                    </w:rPr>
                    <w:t>污染源/主要的污染物</w:t>
                  </w:r>
                </w:p>
              </w:tc>
              <w:tc>
                <w:tcPr>
                  <w:tcW w:w="3337" w:type="dxa"/>
                  <w:vAlign w:val="center"/>
                </w:tcPr>
                <w:p>
                  <w:pPr>
                    <w:widowControl/>
                    <w:spacing w:line="240" w:lineRule="exact"/>
                    <w:jc w:val="center"/>
                    <w:textAlignment w:val="center"/>
                    <w:rPr>
                      <w:color w:val="auto"/>
                      <w:szCs w:val="21"/>
                      <w:highlight w:val="none"/>
                    </w:rPr>
                  </w:pPr>
                  <w:r>
                    <w:rPr>
                      <w:color w:val="auto"/>
                      <w:szCs w:val="21"/>
                      <w:highlight w:val="none"/>
                    </w:rPr>
                    <w:t>污染防治设施</w:t>
                  </w:r>
                </w:p>
              </w:tc>
              <w:tc>
                <w:tcPr>
                  <w:tcW w:w="2001" w:type="dxa"/>
                  <w:vAlign w:val="center"/>
                </w:tcPr>
                <w:p>
                  <w:pPr>
                    <w:widowControl/>
                    <w:spacing w:line="240" w:lineRule="exact"/>
                    <w:jc w:val="center"/>
                    <w:textAlignment w:val="center"/>
                    <w:rPr>
                      <w:color w:val="auto"/>
                      <w:szCs w:val="21"/>
                      <w:highlight w:val="none"/>
                    </w:rPr>
                  </w:pPr>
                  <w:r>
                    <w:rPr>
                      <w:color w:val="auto"/>
                      <w:szCs w:val="21"/>
                      <w:highlight w:val="none"/>
                    </w:rPr>
                    <w:t>验收标准</w:t>
                  </w:r>
                </w:p>
              </w:tc>
              <w:tc>
                <w:tcPr>
                  <w:tcW w:w="1231" w:type="dxa"/>
                  <w:vAlign w:val="center"/>
                </w:tcPr>
                <w:p>
                  <w:pPr>
                    <w:widowControl/>
                    <w:spacing w:line="240" w:lineRule="exact"/>
                    <w:jc w:val="center"/>
                    <w:textAlignment w:val="center"/>
                    <w:rPr>
                      <w:color w:val="auto"/>
                      <w:szCs w:val="21"/>
                      <w:highlight w:val="none"/>
                    </w:rPr>
                  </w:pPr>
                  <w:r>
                    <w:rPr>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 w:hRule="atLeast"/>
                <w:jc w:val="center"/>
              </w:trPr>
              <w:tc>
                <w:tcPr>
                  <w:tcW w:w="9217" w:type="dxa"/>
                  <w:gridSpan w:val="5"/>
                  <w:vAlign w:val="center"/>
                </w:tcPr>
                <w:p>
                  <w:pPr>
                    <w:widowControl/>
                    <w:spacing w:line="240" w:lineRule="exact"/>
                    <w:jc w:val="center"/>
                    <w:textAlignment w:val="center"/>
                    <w:rPr>
                      <w:color w:val="auto"/>
                      <w:szCs w:val="21"/>
                      <w:highlight w:val="none"/>
                    </w:rPr>
                  </w:pPr>
                  <w:r>
                    <w:rPr>
                      <w:color w:val="auto"/>
                      <w:szCs w:val="21"/>
                      <w:highlight w:val="none"/>
                    </w:rPr>
                    <w:t>施工期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空气</w:t>
                  </w:r>
                </w:p>
                <w:p>
                  <w:pPr>
                    <w:widowControl/>
                    <w:spacing w:line="240" w:lineRule="exact"/>
                    <w:jc w:val="center"/>
                    <w:textAlignment w:val="center"/>
                    <w:rPr>
                      <w:color w:val="auto"/>
                      <w:szCs w:val="21"/>
                      <w:highlight w:val="none"/>
                    </w:rPr>
                  </w:pPr>
                  <w:r>
                    <w:rPr>
                      <w:color w:val="auto"/>
                      <w:szCs w:val="21"/>
                      <w:highlight w:val="none"/>
                    </w:rPr>
                    <w:t>环境</w:t>
                  </w:r>
                </w:p>
              </w:tc>
              <w:tc>
                <w:tcPr>
                  <w:tcW w:w="1833" w:type="dxa"/>
                  <w:vAlign w:val="center"/>
                </w:tcPr>
                <w:p>
                  <w:pPr>
                    <w:widowControl/>
                    <w:spacing w:line="240" w:lineRule="exact"/>
                    <w:jc w:val="center"/>
                    <w:textAlignment w:val="center"/>
                    <w:rPr>
                      <w:color w:val="auto"/>
                      <w:szCs w:val="21"/>
                      <w:highlight w:val="none"/>
                    </w:rPr>
                  </w:pPr>
                  <w:r>
                    <w:rPr>
                      <w:color w:val="auto"/>
                      <w:szCs w:val="21"/>
                      <w:highlight w:val="none"/>
                    </w:rPr>
                    <w:t>运输车辆道路扬尘、施工作业扬尘/TSP</w:t>
                  </w:r>
                </w:p>
              </w:tc>
              <w:tc>
                <w:tcPr>
                  <w:tcW w:w="3337" w:type="dxa"/>
                  <w:vAlign w:val="center"/>
                </w:tcPr>
                <w:p>
                  <w:pPr>
                    <w:widowControl/>
                    <w:spacing w:line="240" w:lineRule="exact"/>
                    <w:jc w:val="left"/>
                    <w:textAlignment w:val="center"/>
                    <w:rPr>
                      <w:color w:val="auto"/>
                      <w:szCs w:val="21"/>
                      <w:highlight w:val="none"/>
                    </w:rPr>
                  </w:pPr>
                  <w:r>
                    <w:rPr>
                      <w:rFonts w:ascii="宋体" w:hAnsi="宋体"/>
                      <w:color w:val="auto"/>
                      <w:szCs w:val="21"/>
                      <w:highlight w:val="none"/>
                    </w:rPr>
                    <w:t>①</w:t>
                  </w:r>
                  <w:r>
                    <w:rPr>
                      <w:color w:val="auto"/>
                      <w:szCs w:val="21"/>
                      <w:highlight w:val="none"/>
                    </w:rPr>
                    <w:t>现场不设</w:t>
                  </w:r>
                  <w:r>
                    <w:rPr>
                      <w:rFonts w:hint="eastAsia"/>
                      <w:color w:val="auto"/>
                      <w:szCs w:val="21"/>
                      <w:highlight w:val="none"/>
                    </w:rPr>
                    <w:t>混凝土</w:t>
                  </w:r>
                  <w:r>
                    <w:rPr>
                      <w:color w:val="auto"/>
                      <w:szCs w:val="21"/>
                      <w:highlight w:val="none"/>
                    </w:rPr>
                    <w:t>搅拌站；</w:t>
                  </w:r>
                  <w:r>
                    <w:rPr>
                      <w:rFonts w:ascii="宋体" w:hAnsi="宋体"/>
                      <w:color w:val="auto"/>
                      <w:szCs w:val="21"/>
                      <w:highlight w:val="none"/>
                    </w:rPr>
                    <w:t>②</w:t>
                  </w:r>
                  <w:r>
                    <w:rPr>
                      <w:color w:val="auto"/>
                      <w:szCs w:val="21"/>
                      <w:highlight w:val="none"/>
                    </w:rPr>
                    <w:t>在施工工区根据情况不定时的洒水；粉状材料，袋装或罐装运输，堆放设篷</w:t>
                  </w:r>
                </w:p>
              </w:tc>
              <w:tc>
                <w:tcPr>
                  <w:tcW w:w="2001" w:type="dxa"/>
                  <w:vAlign w:val="center"/>
                </w:tcPr>
                <w:p>
                  <w:pPr>
                    <w:widowControl/>
                    <w:spacing w:line="240" w:lineRule="exact"/>
                    <w:jc w:val="center"/>
                    <w:textAlignment w:val="center"/>
                    <w:rPr>
                      <w:color w:val="auto"/>
                      <w:szCs w:val="21"/>
                      <w:highlight w:val="none"/>
                    </w:rPr>
                  </w:pPr>
                  <w:r>
                    <w:rPr>
                      <w:color w:val="auto"/>
                      <w:szCs w:val="21"/>
                      <w:highlight w:val="none"/>
                    </w:rPr>
                    <w:t>《环境空气质量标准》二级标准</w:t>
                  </w:r>
                </w:p>
              </w:tc>
              <w:tc>
                <w:tcPr>
                  <w:tcW w:w="1231" w:type="dxa"/>
                  <w:vAlign w:val="center"/>
                </w:tcPr>
                <w:p>
                  <w:pPr>
                    <w:widowControl/>
                    <w:spacing w:line="240" w:lineRule="exact"/>
                    <w:jc w:val="center"/>
                    <w:textAlignment w:val="center"/>
                    <w:rPr>
                      <w:color w:val="auto"/>
                      <w:szCs w:val="21"/>
                      <w:highlight w:val="none"/>
                    </w:rPr>
                  </w:pPr>
                  <w:r>
                    <w:rPr>
                      <w:color w:val="auto"/>
                      <w:szCs w:val="21"/>
                      <w:highlight w:val="none"/>
                    </w:rPr>
                    <w:t>TSP：0.15mg/m</w:t>
                  </w:r>
                  <w:r>
                    <w:rPr>
                      <w:color w:val="auto"/>
                      <w:szCs w:val="21"/>
                      <w:highlight w:val="none"/>
                      <w:vertAlign w:val="superscript"/>
                    </w:rPr>
                    <w:t>3</w:t>
                  </w:r>
                  <w:r>
                    <w:rPr>
                      <w:color w:val="auto"/>
                      <w:szCs w:val="21"/>
                      <w:highlight w:val="none"/>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53"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水环境</w:t>
                  </w:r>
                </w:p>
              </w:tc>
              <w:tc>
                <w:tcPr>
                  <w:tcW w:w="1833" w:type="dxa"/>
                  <w:vAlign w:val="center"/>
                </w:tcPr>
                <w:p>
                  <w:pPr>
                    <w:widowControl/>
                    <w:spacing w:line="240" w:lineRule="exact"/>
                    <w:jc w:val="center"/>
                    <w:textAlignment w:val="center"/>
                    <w:rPr>
                      <w:color w:val="auto"/>
                      <w:szCs w:val="21"/>
                      <w:highlight w:val="none"/>
                    </w:rPr>
                  </w:pPr>
                  <w:r>
                    <w:rPr>
                      <w:color w:val="auto"/>
                      <w:szCs w:val="21"/>
                      <w:highlight w:val="none"/>
                    </w:rPr>
                    <w:t>施工生产废水；施工人员的生活污水/石油类、COD等</w:t>
                  </w:r>
                </w:p>
              </w:tc>
              <w:tc>
                <w:tcPr>
                  <w:tcW w:w="3337" w:type="dxa"/>
                  <w:vAlign w:val="center"/>
                </w:tcPr>
                <w:p>
                  <w:pPr>
                    <w:widowControl/>
                    <w:spacing w:line="240" w:lineRule="exact"/>
                    <w:jc w:val="left"/>
                    <w:textAlignment w:val="center"/>
                    <w:rPr>
                      <w:color w:val="auto"/>
                      <w:szCs w:val="21"/>
                      <w:highlight w:val="none"/>
                    </w:rPr>
                  </w:pPr>
                  <w:r>
                    <w:rPr>
                      <w:rFonts w:ascii="宋体" w:hAnsi="宋体"/>
                      <w:color w:val="auto"/>
                      <w:szCs w:val="21"/>
                      <w:highlight w:val="none"/>
                    </w:rPr>
                    <w:t>①</w:t>
                  </w:r>
                  <w:r>
                    <w:rPr>
                      <w:color w:val="auto"/>
                      <w:szCs w:val="21"/>
                      <w:highlight w:val="none"/>
                    </w:rPr>
                    <w:t>严禁将废弃物弃入项目周边地表水体；</w:t>
                  </w:r>
                  <w:r>
                    <w:rPr>
                      <w:rFonts w:ascii="宋体" w:hAnsi="宋体"/>
                      <w:color w:val="auto"/>
                      <w:szCs w:val="21"/>
                      <w:highlight w:val="none"/>
                    </w:rPr>
                    <w:t>②</w:t>
                  </w:r>
                  <w:r>
                    <w:rPr>
                      <w:rFonts w:hint="eastAsia" w:ascii="宋体" w:hAnsi="宋体"/>
                      <w:color w:val="auto"/>
                      <w:szCs w:val="21"/>
                      <w:highlight w:val="none"/>
                    </w:rPr>
                    <w:t>施工人员生活废水利用周边现有污水处理设施处理</w:t>
                  </w:r>
                </w:p>
              </w:tc>
              <w:tc>
                <w:tcPr>
                  <w:tcW w:w="2001" w:type="dxa"/>
                  <w:vAlign w:val="center"/>
                </w:tcPr>
                <w:p>
                  <w:pPr>
                    <w:widowControl/>
                    <w:spacing w:line="240" w:lineRule="exact"/>
                    <w:jc w:val="center"/>
                    <w:textAlignment w:val="center"/>
                    <w:rPr>
                      <w:color w:val="auto"/>
                      <w:szCs w:val="21"/>
                      <w:highlight w:val="none"/>
                    </w:rPr>
                  </w:pPr>
                  <w:r>
                    <w:rPr>
                      <w:color w:val="auto"/>
                      <w:szCs w:val="21"/>
                      <w:highlight w:val="none"/>
                    </w:rPr>
                    <w:t>《地表水环境质量标准》</w:t>
                  </w:r>
                  <w:r>
                    <w:rPr>
                      <w:rFonts w:ascii="宋体" w:hAnsi="宋体"/>
                      <w:color w:val="auto"/>
                      <w:szCs w:val="21"/>
                      <w:highlight w:val="none"/>
                    </w:rPr>
                    <w:t>Ⅲ</w:t>
                  </w:r>
                  <w:r>
                    <w:rPr>
                      <w:color w:val="auto"/>
                      <w:szCs w:val="21"/>
                      <w:highlight w:val="none"/>
                    </w:rPr>
                    <w:t>类标准</w:t>
                  </w:r>
                </w:p>
              </w:tc>
              <w:tc>
                <w:tcPr>
                  <w:tcW w:w="1231" w:type="dxa"/>
                  <w:vAlign w:val="center"/>
                </w:tcPr>
                <w:p>
                  <w:pPr>
                    <w:widowControl/>
                    <w:spacing w:line="240" w:lineRule="exact"/>
                    <w:jc w:val="center"/>
                    <w:textAlignment w:val="center"/>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固体</w:t>
                  </w:r>
                </w:p>
                <w:p>
                  <w:pPr>
                    <w:widowControl/>
                    <w:spacing w:line="240" w:lineRule="exact"/>
                    <w:jc w:val="center"/>
                    <w:textAlignment w:val="center"/>
                    <w:rPr>
                      <w:color w:val="auto"/>
                      <w:szCs w:val="21"/>
                      <w:highlight w:val="none"/>
                    </w:rPr>
                  </w:pPr>
                  <w:r>
                    <w:rPr>
                      <w:color w:val="auto"/>
                      <w:szCs w:val="21"/>
                      <w:highlight w:val="none"/>
                    </w:rPr>
                    <w:t>废物</w:t>
                  </w:r>
                </w:p>
              </w:tc>
              <w:tc>
                <w:tcPr>
                  <w:tcW w:w="1833" w:type="dxa"/>
                  <w:vAlign w:val="center"/>
                </w:tcPr>
                <w:p>
                  <w:pPr>
                    <w:widowControl/>
                    <w:spacing w:line="240" w:lineRule="exact"/>
                    <w:jc w:val="center"/>
                    <w:textAlignment w:val="center"/>
                    <w:rPr>
                      <w:color w:val="auto"/>
                      <w:szCs w:val="21"/>
                      <w:highlight w:val="none"/>
                    </w:rPr>
                  </w:pPr>
                  <w:r>
                    <w:rPr>
                      <w:color w:val="auto"/>
                      <w:szCs w:val="21"/>
                      <w:highlight w:val="none"/>
                    </w:rPr>
                    <w:t>施工场地施工垃圾/施工垃圾</w:t>
                  </w:r>
                </w:p>
              </w:tc>
              <w:tc>
                <w:tcPr>
                  <w:tcW w:w="3337" w:type="dxa"/>
                  <w:vAlign w:val="center"/>
                </w:tcPr>
                <w:p>
                  <w:pPr>
                    <w:widowControl/>
                    <w:spacing w:line="240" w:lineRule="exact"/>
                    <w:jc w:val="left"/>
                    <w:textAlignment w:val="center"/>
                    <w:rPr>
                      <w:color w:val="auto"/>
                      <w:szCs w:val="21"/>
                      <w:highlight w:val="none"/>
                    </w:rPr>
                  </w:pPr>
                  <w:r>
                    <w:rPr>
                      <w:rFonts w:ascii="宋体" w:hAnsi="宋体"/>
                      <w:color w:val="auto"/>
                      <w:szCs w:val="21"/>
                      <w:highlight w:val="none"/>
                    </w:rPr>
                    <w:t>①</w:t>
                  </w:r>
                  <w:r>
                    <w:rPr>
                      <w:color w:val="auto"/>
                      <w:szCs w:val="21"/>
                      <w:highlight w:val="none"/>
                    </w:rPr>
                    <w:t>建筑垃圾委托湘潭市渣土办处理；</w:t>
                  </w:r>
                  <w:r>
                    <w:rPr>
                      <w:rFonts w:ascii="宋体" w:hAnsi="宋体"/>
                      <w:color w:val="auto"/>
                      <w:szCs w:val="21"/>
                      <w:highlight w:val="none"/>
                    </w:rPr>
                    <w:t>②</w:t>
                  </w:r>
                  <w:r>
                    <w:rPr>
                      <w:color w:val="auto"/>
                      <w:szCs w:val="21"/>
                      <w:highlight w:val="none"/>
                    </w:rPr>
                    <w:t>生活垃圾统一收集后交环卫部门处理</w:t>
                  </w:r>
                </w:p>
              </w:tc>
              <w:tc>
                <w:tcPr>
                  <w:tcW w:w="2001" w:type="dxa"/>
                  <w:vAlign w:val="center"/>
                </w:tcPr>
                <w:p>
                  <w:pPr>
                    <w:widowControl/>
                    <w:spacing w:line="240" w:lineRule="exact"/>
                    <w:jc w:val="center"/>
                    <w:textAlignment w:val="center"/>
                    <w:rPr>
                      <w:color w:val="auto"/>
                      <w:szCs w:val="21"/>
                      <w:highlight w:val="none"/>
                    </w:rPr>
                  </w:pPr>
                  <w:r>
                    <w:rPr>
                      <w:color w:val="auto"/>
                      <w:szCs w:val="21"/>
                      <w:highlight w:val="none"/>
                    </w:rPr>
                    <w:t>/</w:t>
                  </w:r>
                </w:p>
              </w:tc>
              <w:tc>
                <w:tcPr>
                  <w:tcW w:w="1231" w:type="dxa"/>
                  <w:vAlign w:val="center"/>
                </w:tcPr>
                <w:p>
                  <w:pPr>
                    <w:widowControl/>
                    <w:spacing w:line="240" w:lineRule="exact"/>
                    <w:jc w:val="center"/>
                    <w:textAlignment w:val="center"/>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声环境</w:t>
                  </w:r>
                </w:p>
              </w:tc>
              <w:tc>
                <w:tcPr>
                  <w:tcW w:w="1833" w:type="dxa"/>
                  <w:vAlign w:val="center"/>
                </w:tcPr>
                <w:p>
                  <w:pPr>
                    <w:widowControl/>
                    <w:spacing w:line="240" w:lineRule="exact"/>
                    <w:jc w:val="center"/>
                    <w:textAlignment w:val="center"/>
                    <w:rPr>
                      <w:color w:val="auto"/>
                      <w:szCs w:val="21"/>
                      <w:highlight w:val="none"/>
                    </w:rPr>
                  </w:pPr>
                  <w:r>
                    <w:rPr>
                      <w:color w:val="auto"/>
                      <w:szCs w:val="21"/>
                      <w:highlight w:val="none"/>
                    </w:rPr>
                    <w:t>运输车辆和施工机械/机械噪声</w:t>
                  </w:r>
                </w:p>
              </w:tc>
              <w:tc>
                <w:tcPr>
                  <w:tcW w:w="3337" w:type="dxa"/>
                  <w:vAlign w:val="center"/>
                </w:tcPr>
                <w:p>
                  <w:pPr>
                    <w:widowControl/>
                    <w:spacing w:line="240" w:lineRule="exact"/>
                    <w:jc w:val="left"/>
                    <w:textAlignment w:val="center"/>
                    <w:rPr>
                      <w:color w:val="auto"/>
                      <w:szCs w:val="21"/>
                      <w:highlight w:val="none"/>
                    </w:rPr>
                  </w:pPr>
                  <w:r>
                    <w:rPr>
                      <w:rFonts w:ascii="宋体" w:hAnsi="宋体"/>
                      <w:color w:val="auto"/>
                      <w:szCs w:val="21"/>
                      <w:highlight w:val="none"/>
                    </w:rPr>
                    <w:t>①</w:t>
                  </w:r>
                  <w:r>
                    <w:rPr>
                      <w:color w:val="auto"/>
                      <w:szCs w:val="21"/>
                      <w:highlight w:val="none"/>
                    </w:rPr>
                    <w:t>夜间在环境敏感点处不得施工，昼间要合理安排作业时间，特殊情况需连续作业时，报环保局批准后施工，并公告附近群众；</w:t>
                  </w:r>
                  <w:r>
                    <w:rPr>
                      <w:rFonts w:ascii="宋体" w:hAnsi="宋体"/>
                      <w:color w:val="auto"/>
                      <w:szCs w:val="21"/>
                      <w:highlight w:val="none"/>
                    </w:rPr>
                    <w:t>②</w:t>
                  </w:r>
                  <w:r>
                    <w:rPr>
                      <w:color w:val="auto"/>
                      <w:szCs w:val="21"/>
                      <w:highlight w:val="none"/>
                    </w:rPr>
                    <w:t>对高强度噪声施工工场，在靠近敏感点一侧设置隔声挡板等；</w:t>
                  </w:r>
                  <w:r>
                    <w:rPr>
                      <w:rFonts w:ascii="宋体" w:hAnsi="宋体"/>
                      <w:color w:val="auto"/>
                      <w:szCs w:val="21"/>
                      <w:highlight w:val="none"/>
                    </w:rPr>
                    <w:t>③</w:t>
                  </w:r>
                  <w:r>
                    <w:rPr>
                      <w:color w:val="auto"/>
                      <w:szCs w:val="21"/>
                      <w:highlight w:val="none"/>
                    </w:rPr>
                    <w:t>运输车辆穿越居民集中点时限速、禁鸣</w:t>
                  </w:r>
                </w:p>
              </w:tc>
              <w:tc>
                <w:tcPr>
                  <w:tcW w:w="2001" w:type="dxa"/>
                  <w:vAlign w:val="center"/>
                </w:tcPr>
                <w:p>
                  <w:pPr>
                    <w:widowControl/>
                    <w:spacing w:line="240" w:lineRule="exact"/>
                    <w:jc w:val="center"/>
                    <w:textAlignment w:val="center"/>
                    <w:rPr>
                      <w:color w:val="auto"/>
                      <w:szCs w:val="21"/>
                      <w:highlight w:val="none"/>
                    </w:rPr>
                  </w:pPr>
                  <w:r>
                    <w:rPr>
                      <w:color w:val="auto"/>
                      <w:szCs w:val="21"/>
                      <w:highlight w:val="none"/>
                    </w:rPr>
                    <w:t>《建筑施工场界环境噪声排放标准》</w:t>
                  </w:r>
                </w:p>
              </w:tc>
              <w:tc>
                <w:tcPr>
                  <w:tcW w:w="1231" w:type="dxa"/>
                  <w:vAlign w:val="center"/>
                </w:tcPr>
                <w:p>
                  <w:pPr>
                    <w:widowControl/>
                    <w:spacing w:line="240" w:lineRule="exact"/>
                    <w:jc w:val="center"/>
                    <w:textAlignment w:val="center"/>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社会</w:t>
                  </w:r>
                </w:p>
                <w:p>
                  <w:pPr>
                    <w:widowControl/>
                    <w:spacing w:line="240" w:lineRule="exact"/>
                    <w:jc w:val="center"/>
                    <w:textAlignment w:val="center"/>
                    <w:rPr>
                      <w:color w:val="auto"/>
                      <w:szCs w:val="21"/>
                      <w:highlight w:val="none"/>
                    </w:rPr>
                  </w:pPr>
                  <w:r>
                    <w:rPr>
                      <w:color w:val="auto"/>
                      <w:szCs w:val="21"/>
                      <w:highlight w:val="none"/>
                    </w:rPr>
                    <w:t>环境</w:t>
                  </w:r>
                </w:p>
              </w:tc>
              <w:tc>
                <w:tcPr>
                  <w:tcW w:w="1833" w:type="dxa"/>
                  <w:vAlign w:val="center"/>
                </w:tcPr>
                <w:p>
                  <w:pPr>
                    <w:widowControl/>
                    <w:spacing w:line="240" w:lineRule="exact"/>
                    <w:jc w:val="center"/>
                    <w:textAlignment w:val="center"/>
                    <w:rPr>
                      <w:color w:val="auto"/>
                      <w:szCs w:val="21"/>
                      <w:highlight w:val="none"/>
                    </w:rPr>
                  </w:pPr>
                  <w:r>
                    <w:rPr>
                      <w:color w:val="auto"/>
                      <w:szCs w:val="21"/>
                      <w:highlight w:val="none"/>
                    </w:rPr>
                    <w:t>工程征地</w:t>
                  </w:r>
                </w:p>
              </w:tc>
              <w:tc>
                <w:tcPr>
                  <w:tcW w:w="3337" w:type="dxa"/>
                  <w:vAlign w:val="center"/>
                </w:tcPr>
                <w:p>
                  <w:pPr>
                    <w:widowControl/>
                    <w:spacing w:line="240" w:lineRule="exact"/>
                    <w:jc w:val="left"/>
                    <w:textAlignment w:val="center"/>
                    <w:rPr>
                      <w:color w:val="auto"/>
                      <w:szCs w:val="21"/>
                      <w:highlight w:val="none"/>
                    </w:rPr>
                  </w:pPr>
                  <w:r>
                    <w:rPr>
                      <w:color w:val="auto"/>
                      <w:szCs w:val="21"/>
                      <w:highlight w:val="none"/>
                    </w:rPr>
                    <w:t>对工程占地和拆迁进行合理的经济补偿</w:t>
                  </w:r>
                </w:p>
              </w:tc>
              <w:tc>
                <w:tcPr>
                  <w:tcW w:w="2001" w:type="dxa"/>
                  <w:vAlign w:val="center"/>
                </w:tcPr>
                <w:p>
                  <w:pPr>
                    <w:widowControl/>
                    <w:spacing w:line="240" w:lineRule="exact"/>
                    <w:jc w:val="center"/>
                    <w:textAlignment w:val="center"/>
                    <w:rPr>
                      <w:color w:val="auto"/>
                      <w:szCs w:val="21"/>
                      <w:highlight w:val="none"/>
                    </w:rPr>
                  </w:pPr>
                  <w:r>
                    <w:rPr>
                      <w:color w:val="auto"/>
                      <w:szCs w:val="21"/>
                      <w:highlight w:val="none"/>
                    </w:rPr>
                    <w:t>受影响的居民生活水平未下降</w:t>
                  </w:r>
                </w:p>
              </w:tc>
              <w:tc>
                <w:tcPr>
                  <w:tcW w:w="1231" w:type="dxa"/>
                  <w:vAlign w:val="center"/>
                </w:tcPr>
                <w:p>
                  <w:pPr>
                    <w:widowControl/>
                    <w:spacing w:line="240" w:lineRule="exact"/>
                    <w:jc w:val="center"/>
                    <w:textAlignment w:val="center"/>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 w:hRule="atLeast"/>
                <w:jc w:val="center"/>
              </w:trPr>
              <w:tc>
                <w:tcPr>
                  <w:tcW w:w="9217" w:type="dxa"/>
                  <w:gridSpan w:val="5"/>
                  <w:vAlign w:val="center"/>
                </w:tcPr>
                <w:p>
                  <w:pPr>
                    <w:widowControl/>
                    <w:spacing w:line="240" w:lineRule="exact"/>
                    <w:jc w:val="center"/>
                    <w:textAlignment w:val="center"/>
                    <w:rPr>
                      <w:color w:val="auto"/>
                      <w:szCs w:val="21"/>
                      <w:highlight w:val="none"/>
                    </w:rPr>
                  </w:pPr>
                  <w:r>
                    <w:rPr>
                      <w:color w:val="auto"/>
                      <w:szCs w:val="21"/>
                      <w:highlight w:val="none"/>
                    </w:rPr>
                    <w:t>营运期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5"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空气</w:t>
                  </w:r>
                </w:p>
                <w:p>
                  <w:pPr>
                    <w:widowControl/>
                    <w:spacing w:line="240" w:lineRule="exact"/>
                    <w:jc w:val="center"/>
                    <w:textAlignment w:val="center"/>
                    <w:rPr>
                      <w:color w:val="auto"/>
                      <w:szCs w:val="21"/>
                      <w:highlight w:val="none"/>
                    </w:rPr>
                  </w:pPr>
                  <w:r>
                    <w:rPr>
                      <w:color w:val="auto"/>
                      <w:szCs w:val="21"/>
                      <w:highlight w:val="none"/>
                    </w:rPr>
                    <w:t>环境</w:t>
                  </w:r>
                </w:p>
              </w:tc>
              <w:tc>
                <w:tcPr>
                  <w:tcW w:w="1833" w:type="dxa"/>
                  <w:vAlign w:val="center"/>
                </w:tcPr>
                <w:p>
                  <w:pPr>
                    <w:widowControl/>
                    <w:spacing w:line="240" w:lineRule="exact"/>
                    <w:jc w:val="center"/>
                    <w:textAlignment w:val="center"/>
                    <w:rPr>
                      <w:color w:val="auto"/>
                      <w:szCs w:val="21"/>
                      <w:highlight w:val="none"/>
                    </w:rPr>
                  </w:pPr>
                  <w:r>
                    <w:rPr>
                      <w:rFonts w:hint="eastAsia"/>
                      <w:color w:val="auto"/>
                      <w:szCs w:val="21"/>
                      <w:highlight w:val="none"/>
                    </w:rPr>
                    <w:t>热处理废气、清洗废气、注塑废气、</w:t>
                  </w:r>
                  <w:r>
                    <w:rPr>
                      <w:color w:val="auto"/>
                      <w:szCs w:val="21"/>
                      <w:highlight w:val="none"/>
                    </w:rPr>
                    <w:t>油烟废气/</w:t>
                  </w:r>
                  <w:r>
                    <w:rPr>
                      <w:rFonts w:hint="eastAsia"/>
                      <w:color w:val="auto"/>
                      <w:szCs w:val="21"/>
                      <w:highlight w:val="none"/>
                    </w:rPr>
                    <w:t>非甲烷总烃、氮氧化物、挥发性有机化合物、</w:t>
                  </w:r>
                  <w:r>
                    <w:rPr>
                      <w:color w:val="auto"/>
                      <w:szCs w:val="21"/>
                      <w:highlight w:val="none"/>
                    </w:rPr>
                    <w:t>食堂油烟</w:t>
                  </w:r>
                </w:p>
              </w:tc>
              <w:tc>
                <w:tcPr>
                  <w:tcW w:w="3337" w:type="dxa"/>
                  <w:vAlign w:val="center"/>
                </w:tcPr>
                <w:p>
                  <w:pPr>
                    <w:widowControl/>
                    <w:spacing w:line="240" w:lineRule="exact"/>
                    <w:jc w:val="left"/>
                    <w:textAlignment w:val="center"/>
                    <w:rPr>
                      <w:color w:val="auto"/>
                      <w:szCs w:val="21"/>
                      <w:highlight w:val="none"/>
                    </w:rPr>
                  </w:pPr>
                  <w:r>
                    <w:rPr>
                      <w:rFonts w:hint="eastAsia"/>
                      <w:color w:val="auto"/>
                      <w:szCs w:val="21"/>
                      <w:highlight w:val="none"/>
                    </w:rPr>
                    <w:t>热处理废气中的高温加热炉废气经燃烧处理、淬火废气经油雾净化器处理后经过15m排气筒排放；清洗废气收集后通过15m排气筒排放；注塑废气无组织排放；</w:t>
                  </w:r>
                  <w:r>
                    <w:rPr>
                      <w:color w:val="auto"/>
                      <w:szCs w:val="21"/>
                      <w:highlight w:val="none"/>
                    </w:rPr>
                    <w:t>油烟废气经油烟净化器处理达标后</w:t>
                  </w:r>
                  <w:r>
                    <w:rPr>
                      <w:rFonts w:hint="eastAsia"/>
                      <w:color w:val="auto"/>
                      <w:szCs w:val="21"/>
                      <w:highlight w:val="none"/>
                    </w:rPr>
                    <w:t>引至楼顶</w:t>
                  </w:r>
                  <w:r>
                    <w:rPr>
                      <w:color w:val="auto"/>
                      <w:szCs w:val="21"/>
                      <w:highlight w:val="none"/>
                    </w:rPr>
                    <w:t>排放</w:t>
                  </w:r>
                </w:p>
              </w:tc>
              <w:tc>
                <w:tcPr>
                  <w:tcW w:w="2001" w:type="dxa"/>
                  <w:vAlign w:val="center"/>
                </w:tcPr>
                <w:p>
                  <w:pPr>
                    <w:widowControl/>
                    <w:spacing w:line="240" w:lineRule="exact"/>
                    <w:jc w:val="left"/>
                    <w:textAlignment w:val="center"/>
                    <w:rPr>
                      <w:color w:val="auto"/>
                      <w:szCs w:val="21"/>
                      <w:highlight w:val="none"/>
                    </w:rPr>
                  </w:pPr>
                  <w:r>
                    <w:rPr>
                      <w:rFonts w:hint="eastAsia"/>
                      <w:color w:val="auto"/>
                      <w:szCs w:val="21"/>
                      <w:highlight w:val="none"/>
                    </w:rPr>
                    <w:t>非甲烷总烃、氮氧化物执行《大气污染物综合排放标准》（GB16297-1996）表2二级标准，挥发性有机化合物参照执行《工业企业挥发性有机物排放控制标准》（DB12/524-2014）标准，油烟执行《饮食业油烟排放标准》（GB18483-2001）标准</w:t>
                  </w:r>
                </w:p>
              </w:tc>
              <w:tc>
                <w:tcPr>
                  <w:tcW w:w="1231" w:type="dxa"/>
                  <w:vAlign w:val="center"/>
                </w:tcPr>
                <w:p>
                  <w:pPr>
                    <w:widowControl/>
                    <w:spacing w:line="240" w:lineRule="exact"/>
                    <w:jc w:val="center"/>
                    <w:textAlignment w:val="center"/>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水环境</w:t>
                  </w:r>
                </w:p>
              </w:tc>
              <w:tc>
                <w:tcPr>
                  <w:tcW w:w="1833" w:type="dxa"/>
                  <w:vAlign w:val="center"/>
                </w:tcPr>
                <w:p>
                  <w:pPr>
                    <w:widowControl/>
                    <w:spacing w:line="240" w:lineRule="exact"/>
                    <w:jc w:val="center"/>
                    <w:textAlignment w:val="center"/>
                    <w:rPr>
                      <w:color w:val="auto"/>
                      <w:szCs w:val="21"/>
                      <w:highlight w:val="none"/>
                    </w:rPr>
                  </w:pPr>
                  <w:r>
                    <w:rPr>
                      <w:rFonts w:hint="eastAsia"/>
                      <w:color w:val="auto"/>
                      <w:szCs w:val="21"/>
                      <w:highlight w:val="none"/>
                    </w:rPr>
                    <w:t>抛光粉砂废水、车间拖地废水、生活废水</w:t>
                  </w:r>
                  <w:r>
                    <w:rPr>
                      <w:color w:val="auto"/>
                      <w:szCs w:val="21"/>
                      <w:highlight w:val="none"/>
                    </w:rPr>
                    <w:t>/COD、NH</w:t>
                  </w:r>
                  <w:r>
                    <w:rPr>
                      <w:color w:val="auto"/>
                      <w:szCs w:val="21"/>
                      <w:highlight w:val="none"/>
                      <w:vertAlign w:val="subscript"/>
                    </w:rPr>
                    <w:t>3</w:t>
                  </w:r>
                  <w:r>
                    <w:rPr>
                      <w:color w:val="auto"/>
                      <w:szCs w:val="21"/>
                      <w:highlight w:val="none"/>
                    </w:rPr>
                    <w:t>-N</w:t>
                  </w:r>
                  <w:r>
                    <w:rPr>
                      <w:rFonts w:hint="eastAsia"/>
                      <w:color w:val="auto"/>
                      <w:szCs w:val="21"/>
                      <w:highlight w:val="none"/>
                    </w:rPr>
                    <w:t>、石油类</w:t>
                  </w:r>
                  <w:r>
                    <w:rPr>
                      <w:color w:val="auto"/>
                      <w:szCs w:val="21"/>
                      <w:highlight w:val="none"/>
                    </w:rPr>
                    <w:t>等</w:t>
                  </w:r>
                </w:p>
              </w:tc>
              <w:tc>
                <w:tcPr>
                  <w:tcW w:w="3337" w:type="dxa"/>
                  <w:vAlign w:val="center"/>
                </w:tcPr>
                <w:p>
                  <w:pPr>
                    <w:widowControl/>
                    <w:spacing w:line="240" w:lineRule="exact"/>
                    <w:jc w:val="left"/>
                    <w:textAlignment w:val="center"/>
                    <w:rPr>
                      <w:color w:val="auto"/>
                      <w:szCs w:val="21"/>
                      <w:highlight w:val="none"/>
                    </w:rPr>
                  </w:pPr>
                  <w:r>
                    <w:rPr>
                      <w:color w:val="auto"/>
                      <w:szCs w:val="21"/>
                      <w:highlight w:val="none"/>
                    </w:rPr>
                    <w:t>隔油池、化粪池预处理后排入</w:t>
                  </w:r>
                  <w:r>
                    <w:rPr>
                      <w:rFonts w:hint="eastAsia"/>
                      <w:color w:val="auto"/>
                      <w:szCs w:val="21"/>
                      <w:highlight w:val="none"/>
                    </w:rPr>
                    <w:t>湘潭市九华</w:t>
                  </w:r>
                  <w:r>
                    <w:rPr>
                      <w:color w:val="auto"/>
                      <w:szCs w:val="21"/>
                      <w:highlight w:val="none"/>
                    </w:rPr>
                    <w:t>污水处理厂处理</w:t>
                  </w:r>
                </w:p>
              </w:tc>
              <w:tc>
                <w:tcPr>
                  <w:tcW w:w="2001" w:type="dxa"/>
                  <w:vAlign w:val="center"/>
                </w:tcPr>
                <w:p>
                  <w:pPr>
                    <w:widowControl/>
                    <w:spacing w:line="240" w:lineRule="exact"/>
                    <w:jc w:val="center"/>
                    <w:textAlignment w:val="center"/>
                    <w:rPr>
                      <w:color w:val="auto"/>
                      <w:szCs w:val="21"/>
                      <w:highlight w:val="none"/>
                    </w:rPr>
                  </w:pPr>
                  <w:r>
                    <w:rPr>
                      <w:color w:val="auto"/>
                      <w:szCs w:val="21"/>
                      <w:highlight w:val="none"/>
                    </w:rPr>
                    <w:t>《污水综合排放标准》（GB8978-96）表4中三级排放标准</w:t>
                  </w:r>
                </w:p>
              </w:tc>
              <w:tc>
                <w:tcPr>
                  <w:tcW w:w="1231" w:type="dxa"/>
                  <w:vAlign w:val="center"/>
                </w:tcPr>
                <w:p>
                  <w:pPr>
                    <w:widowControl/>
                    <w:spacing w:line="240" w:lineRule="exact"/>
                    <w:jc w:val="center"/>
                    <w:textAlignment w:val="center"/>
                    <w:rPr>
                      <w:color w:val="auto"/>
                      <w:szCs w:val="21"/>
                      <w:highlight w:val="none"/>
                    </w:rPr>
                  </w:pPr>
                  <w:r>
                    <w:rPr>
                      <w:color w:val="auto"/>
                      <w:szCs w:val="21"/>
                      <w:highlight w:val="none"/>
                    </w:rPr>
                    <w:t>COD：</w:t>
                  </w:r>
                  <w:r>
                    <w:rPr>
                      <w:rFonts w:hint="eastAsia"/>
                      <w:color w:val="auto"/>
                      <w:szCs w:val="21"/>
                      <w:highlight w:val="none"/>
                    </w:rPr>
                    <w:t>5</w:t>
                  </w:r>
                  <w:r>
                    <w:rPr>
                      <w:color w:val="auto"/>
                      <w:szCs w:val="21"/>
                      <w:highlight w:val="none"/>
                    </w:rPr>
                    <w:t>00mg/L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固体</w:t>
                  </w:r>
                </w:p>
                <w:p>
                  <w:pPr>
                    <w:widowControl/>
                    <w:spacing w:line="240" w:lineRule="exact"/>
                    <w:jc w:val="center"/>
                    <w:textAlignment w:val="center"/>
                    <w:rPr>
                      <w:color w:val="auto"/>
                      <w:szCs w:val="21"/>
                      <w:highlight w:val="none"/>
                    </w:rPr>
                  </w:pPr>
                  <w:r>
                    <w:rPr>
                      <w:color w:val="auto"/>
                      <w:szCs w:val="21"/>
                      <w:highlight w:val="none"/>
                    </w:rPr>
                    <w:t>废物</w:t>
                  </w:r>
                </w:p>
              </w:tc>
              <w:tc>
                <w:tcPr>
                  <w:tcW w:w="1833" w:type="dxa"/>
                  <w:vAlign w:val="center"/>
                </w:tcPr>
                <w:p>
                  <w:pPr>
                    <w:widowControl/>
                    <w:spacing w:line="240" w:lineRule="exact"/>
                    <w:jc w:val="center"/>
                    <w:textAlignment w:val="center"/>
                    <w:rPr>
                      <w:color w:val="auto"/>
                      <w:szCs w:val="21"/>
                      <w:highlight w:val="none"/>
                    </w:rPr>
                  </w:pPr>
                  <w:r>
                    <w:rPr>
                      <w:rFonts w:hint="eastAsia"/>
                      <w:color w:val="auto"/>
                      <w:szCs w:val="21"/>
                      <w:highlight w:val="none"/>
                    </w:rPr>
                    <w:t>去毛刺废渣等危险固废、边角料等一般工业固废、</w:t>
                  </w:r>
                  <w:r>
                    <w:rPr>
                      <w:color w:val="auto"/>
                      <w:szCs w:val="21"/>
                      <w:highlight w:val="none"/>
                    </w:rPr>
                    <w:t>生活垃圾</w:t>
                  </w:r>
                  <w:r>
                    <w:rPr>
                      <w:rFonts w:hint="eastAsia"/>
                      <w:color w:val="auto"/>
                      <w:szCs w:val="21"/>
                      <w:highlight w:val="none"/>
                    </w:rPr>
                    <w:t>及</w:t>
                  </w:r>
                  <w:r>
                    <w:rPr>
                      <w:color w:val="auto"/>
                      <w:szCs w:val="21"/>
                      <w:highlight w:val="none"/>
                    </w:rPr>
                    <w:t>隔油池产生的废油脂</w:t>
                  </w:r>
                </w:p>
              </w:tc>
              <w:tc>
                <w:tcPr>
                  <w:tcW w:w="3337" w:type="dxa"/>
                  <w:vAlign w:val="center"/>
                </w:tcPr>
                <w:p>
                  <w:pPr>
                    <w:widowControl/>
                    <w:spacing w:line="240" w:lineRule="exact"/>
                    <w:jc w:val="left"/>
                    <w:textAlignment w:val="center"/>
                    <w:rPr>
                      <w:color w:val="auto"/>
                      <w:szCs w:val="21"/>
                      <w:highlight w:val="none"/>
                    </w:rPr>
                  </w:pPr>
                  <w:r>
                    <w:rPr>
                      <w:rFonts w:hint="eastAsia"/>
                      <w:color w:val="auto"/>
                      <w:szCs w:val="21"/>
                      <w:highlight w:val="none"/>
                    </w:rPr>
                    <w:t>危险固废分类收集暂存，委托有资质的单位处置；一般工业固废分类收集暂存，外售废品回收站处理；</w:t>
                  </w:r>
                  <w:r>
                    <w:rPr>
                      <w:color w:val="auto"/>
                      <w:szCs w:val="21"/>
                      <w:highlight w:val="none"/>
                    </w:rPr>
                    <w:t>生活垃圾收集后委托当地环卫部门处置；隔油池产生的废油脂委托湘潭市有处理餐厨垃圾资质的单位处置</w:t>
                  </w:r>
                </w:p>
              </w:tc>
              <w:tc>
                <w:tcPr>
                  <w:tcW w:w="2001" w:type="dxa"/>
                  <w:vAlign w:val="center"/>
                </w:tcPr>
                <w:p>
                  <w:pPr>
                    <w:widowControl/>
                    <w:spacing w:line="240" w:lineRule="exact"/>
                    <w:jc w:val="center"/>
                    <w:textAlignment w:val="center"/>
                    <w:rPr>
                      <w:color w:val="auto"/>
                      <w:szCs w:val="21"/>
                      <w:highlight w:val="none"/>
                    </w:rPr>
                  </w:pPr>
                  <w:r>
                    <w:rPr>
                      <w:color w:val="auto"/>
                      <w:szCs w:val="21"/>
                      <w:highlight w:val="none"/>
                    </w:rPr>
                    <w:t>有效处置</w:t>
                  </w:r>
                </w:p>
              </w:tc>
              <w:tc>
                <w:tcPr>
                  <w:tcW w:w="1231" w:type="dxa"/>
                  <w:vAlign w:val="center"/>
                </w:tcPr>
                <w:p>
                  <w:pPr>
                    <w:widowControl/>
                    <w:spacing w:line="240" w:lineRule="exact"/>
                    <w:jc w:val="center"/>
                    <w:textAlignment w:val="center"/>
                    <w:rPr>
                      <w:color w:val="auto"/>
                      <w:szCs w:val="21"/>
                      <w:highlight w:val="none"/>
                    </w:rPr>
                  </w:pPr>
                  <w:r>
                    <w:rPr>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4" w:hRule="atLeast"/>
                <w:jc w:val="center"/>
              </w:trPr>
              <w:tc>
                <w:tcPr>
                  <w:tcW w:w="815" w:type="dxa"/>
                  <w:vAlign w:val="center"/>
                </w:tcPr>
                <w:p>
                  <w:pPr>
                    <w:widowControl/>
                    <w:spacing w:line="240" w:lineRule="exact"/>
                    <w:jc w:val="center"/>
                    <w:textAlignment w:val="center"/>
                    <w:rPr>
                      <w:color w:val="auto"/>
                      <w:szCs w:val="21"/>
                      <w:highlight w:val="none"/>
                    </w:rPr>
                  </w:pPr>
                  <w:r>
                    <w:rPr>
                      <w:color w:val="auto"/>
                      <w:szCs w:val="21"/>
                      <w:highlight w:val="none"/>
                    </w:rPr>
                    <w:t>声环境</w:t>
                  </w:r>
                </w:p>
              </w:tc>
              <w:tc>
                <w:tcPr>
                  <w:tcW w:w="1833" w:type="dxa"/>
                  <w:vAlign w:val="center"/>
                </w:tcPr>
                <w:p>
                  <w:pPr>
                    <w:widowControl/>
                    <w:spacing w:line="240" w:lineRule="exact"/>
                    <w:jc w:val="center"/>
                    <w:textAlignment w:val="center"/>
                    <w:rPr>
                      <w:color w:val="auto"/>
                      <w:szCs w:val="21"/>
                      <w:highlight w:val="none"/>
                    </w:rPr>
                  </w:pPr>
                  <w:r>
                    <w:rPr>
                      <w:color w:val="auto"/>
                      <w:szCs w:val="21"/>
                      <w:highlight w:val="none"/>
                    </w:rPr>
                    <w:t>设备设施噪声</w:t>
                  </w:r>
                </w:p>
              </w:tc>
              <w:tc>
                <w:tcPr>
                  <w:tcW w:w="3337" w:type="dxa"/>
                  <w:vAlign w:val="center"/>
                </w:tcPr>
                <w:p>
                  <w:pPr>
                    <w:widowControl/>
                    <w:spacing w:line="240" w:lineRule="exact"/>
                    <w:jc w:val="left"/>
                    <w:textAlignment w:val="center"/>
                    <w:rPr>
                      <w:color w:val="auto"/>
                      <w:szCs w:val="21"/>
                      <w:highlight w:val="none"/>
                    </w:rPr>
                  </w:pPr>
                  <w:r>
                    <w:rPr>
                      <w:rFonts w:hint="eastAsia" w:ascii="宋体" w:hAnsi="宋体" w:cs="宋体"/>
                      <w:color w:val="auto"/>
                      <w:szCs w:val="21"/>
                      <w:highlight w:val="none"/>
                    </w:rPr>
                    <w:t>①</w:t>
                  </w:r>
                  <w:r>
                    <w:rPr>
                      <w:color w:val="auto"/>
                      <w:szCs w:val="21"/>
                      <w:highlight w:val="none"/>
                    </w:rPr>
                    <w:t>合理布局设施设备</w:t>
                  </w:r>
                  <w:r>
                    <w:rPr>
                      <w:rFonts w:hint="eastAsia"/>
                      <w:color w:val="auto"/>
                      <w:szCs w:val="21"/>
                      <w:highlight w:val="none"/>
                    </w:rPr>
                    <w:t>，如钻机等设置在生产车间内</w:t>
                  </w:r>
                  <w:r>
                    <w:rPr>
                      <w:color w:val="auto"/>
                      <w:szCs w:val="21"/>
                      <w:highlight w:val="none"/>
                    </w:rPr>
                    <w:t>；</w:t>
                  </w:r>
                  <w:r>
                    <w:rPr>
                      <w:rFonts w:hint="eastAsia" w:ascii="宋体" w:hAnsi="宋体" w:cs="宋体"/>
                      <w:color w:val="auto"/>
                      <w:szCs w:val="21"/>
                      <w:highlight w:val="none"/>
                    </w:rPr>
                    <w:t>②</w:t>
                  </w:r>
                  <w:r>
                    <w:rPr>
                      <w:color w:val="auto"/>
                      <w:szCs w:val="21"/>
                      <w:highlight w:val="none"/>
                    </w:rPr>
                    <w:t>设置减振装置</w:t>
                  </w:r>
                </w:p>
              </w:tc>
              <w:tc>
                <w:tcPr>
                  <w:tcW w:w="2001" w:type="dxa"/>
                  <w:vAlign w:val="center"/>
                </w:tcPr>
                <w:p>
                  <w:pPr>
                    <w:widowControl/>
                    <w:spacing w:line="240" w:lineRule="exact"/>
                    <w:jc w:val="center"/>
                    <w:textAlignment w:val="center"/>
                    <w:rPr>
                      <w:color w:val="auto"/>
                      <w:szCs w:val="21"/>
                      <w:highlight w:val="none"/>
                    </w:rPr>
                  </w:pPr>
                  <w:r>
                    <w:rPr>
                      <w:color w:val="auto"/>
                      <w:szCs w:val="21"/>
                      <w:highlight w:val="none"/>
                    </w:rPr>
                    <w:t>《声环境质量标准》</w:t>
                  </w:r>
                  <w:r>
                    <w:rPr>
                      <w:rFonts w:hint="eastAsia"/>
                      <w:color w:val="auto"/>
                      <w:szCs w:val="21"/>
                      <w:highlight w:val="none"/>
                    </w:rPr>
                    <w:t>4a</w:t>
                  </w:r>
                  <w:r>
                    <w:rPr>
                      <w:color w:val="auto"/>
                      <w:szCs w:val="21"/>
                      <w:highlight w:val="none"/>
                    </w:rPr>
                    <w:t>类</w:t>
                  </w:r>
                  <w:r>
                    <w:rPr>
                      <w:rFonts w:hint="eastAsia"/>
                      <w:color w:val="auto"/>
                      <w:szCs w:val="21"/>
                      <w:highlight w:val="none"/>
                    </w:rPr>
                    <w:t>、3类</w:t>
                  </w:r>
                  <w:r>
                    <w:rPr>
                      <w:color w:val="auto"/>
                      <w:szCs w:val="21"/>
                      <w:highlight w:val="none"/>
                    </w:rPr>
                    <w:t>标准</w:t>
                  </w:r>
                </w:p>
              </w:tc>
              <w:tc>
                <w:tcPr>
                  <w:tcW w:w="1231" w:type="dxa"/>
                  <w:vAlign w:val="center"/>
                </w:tcPr>
                <w:p>
                  <w:pPr>
                    <w:widowControl/>
                    <w:spacing w:line="240" w:lineRule="exact"/>
                    <w:jc w:val="center"/>
                    <w:textAlignment w:val="center"/>
                    <w:rPr>
                      <w:color w:val="auto"/>
                      <w:szCs w:val="21"/>
                      <w:highlight w:val="none"/>
                    </w:rPr>
                  </w:pPr>
                  <w:r>
                    <w:rPr>
                      <w:rFonts w:hint="eastAsia"/>
                      <w:color w:val="auto"/>
                      <w:szCs w:val="21"/>
                      <w:highlight w:val="none"/>
                    </w:rPr>
                    <w:t>昼间：75/65dB(A)</w:t>
                  </w:r>
                </w:p>
                <w:p>
                  <w:pPr>
                    <w:widowControl/>
                    <w:spacing w:line="240" w:lineRule="exact"/>
                    <w:jc w:val="center"/>
                    <w:textAlignment w:val="center"/>
                    <w:rPr>
                      <w:color w:val="auto"/>
                      <w:szCs w:val="21"/>
                      <w:highlight w:val="none"/>
                    </w:rPr>
                  </w:pPr>
                  <w:r>
                    <w:rPr>
                      <w:rFonts w:hint="eastAsia"/>
                      <w:color w:val="auto"/>
                      <w:szCs w:val="21"/>
                      <w:highlight w:val="none"/>
                    </w:rPr>
                    <w:t>夜间：</w:t>
                  </w:r>
                </w:p>
                <w:p>
                  <w:pPr>
                    <w:widowControl/>
                    <w:spacing w:line="240" w:lineRule="exact"/>
                    <w:jc w:val="center"/>
                    <w:textAlignment w:val="center"/>
                    <w:rPr>
                      <w:color w:val="auto"/>
                      <w:szCs w:val="21"/>
                      <w:highlight w:val="none"/>
                    </w:rPr>
                  </w:pPr>
                  <w:r>
                    <w:rPr>
                      <w:rFonts w:hint="eastAsia"/>
                      <w:color w:val="auto"/>
                      <w:szCs w:val="21"/>
                      <w:highlight w:val="none"/>
                    </w:rPr>
                    <w:t>55dB(A)</w:t>
                  </w:r>
                </w:p>
              </w:tc>
            </w:tr>
          </w:tbl>
          <w:p>
            <w:pPr>
              <w:spacing w:afterLines="50" w:line="460" w:lineRule="exact"/>
              <w:jc w:val="left"/>
              <w:rPr>
                <w:rFonts w:ascii="宋体" w:hAnsi="宋体"/>
                <w:b/>
                <w:color w:val="auto"/>
                <w:spacing w:val="4"/>
                <w:sz w:val="24"/>
                <w:highlight w:val="none"/>
              </w:rPr>
            </w:pP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7.5 政策符合性分析</w:t>
            </w:r>
          </w:p>
          <w:p>
            <w:pPr>
              <w:spacing w:line="360" w:lineRule="auto"/>
              <w:ind w:firstLine="480" w:firstLineChars="200"/>
              <w:rPr>
                <w:rFonts w:hAnsi="Calibri"/>
                <w:color w:val="auto"/>
                <w:sz w:val="24"/>
                <w:highlight w:val="none"/>
              </w:rPr>
            </w:pPr>
            <w:r>
              <w:rPr>
                <w:rFonts w:hint="eastAsia" w:hAnsi="Calibri"/>
                <w:color w:val="auto"/>
                <w:sz w:val="24"/>
                <w:highlight w:val="none"/>
              </w:rPr>
              <w:t>（1）产业政策符合性</w:t>
            </w:r>
          </w:p>
          <w:p>
            <w:pPr>
              <w:spacing w:line="360" w:lineRule="auto"/>
              <w:ind w:firstLine="504" w:firstLineChars="200"/>
              <w:rPr>
                <w:color w:val="auto"/>
                <w:spacing w:val="6"/>
                <w:sz w:val="24"/>
                <w:highlight w:val="none"/>
              </w:rPr>
            </w:pPr>
            <w:r>
              <w:rPr>
                <w:color w:val="auto"/>
                <w:spacing w:val="6"/>
                <w:sz w:val="24"/>
                <w:highlight w:val="none"/>
              </w:rPr>
              <w:t>拟建项目主要从事</w:t>
            </w:r>
            <w:r>
              <w:rPr>
                <w:rFonts w:hint="eastAsia"/>
                <w:color w:val="auto"/>
                <w:spacing w:val="6"/>
                <w:sz w:val="24"/>
                <w:highlight w:val="none"/>
              </w:rPr>
              <w:t>滚子摇臂、可变滚子摇臂、轮毂轴承、张紧器、悬架轴承以及热管理模块等汽车零部件的生产，根据国家发改委第21号令公布的《国家发展改革委关于修改&lt;产业结构调整指导目录&gt;有关条款的的决定》（2013修正）的有关规定，本项目不属于</w:t>
            </w:r>
            <w:r>
              <w:rPr>
                <w:color w:val="auto"/>
                <w:spacing w:val="6"/>
                <w:sz w:val="24"/>
                <w:highlight w:val="none"/>
              </w:rPr>
              <w:t>淘汰类、限制类、鼓励类</w:t>
            </w:r>
            <w:r>
              <w:rPr>
                <w:rFonts w:hint="eastAsia"/>
                <w:color w:val="auto"/>
                <w:spacing w:val="6"/>
                <w:sz w:val="24"/>
                <w:highlight w:val="none"/>
              </w:rPr>
              <w:t>，</w:t>
            </w:r>
            <w:r>
              <w:rPr>
                <w:color w:val="auto"/>
                <w:spacing w:val="6"/>
                <w:sz w:val="24"/>
                <w:highlight w:val="none"/>
              </w:rPr>
              <w:t>为允许类</w:t>
            </w:r>
            <w:r>
              <w:rPr>
                <w:rFonts w:hint="eastAsia"/>
                <w:color w:val="auto"/>
                <w:spacing w:val="6"/>
                <w:sz w:val="24"/>
                <w:highlight w:val="none"/>
              </w:rPr>
              <w:t>。</w:t>
            </w:r>
          </w:p>
          <w:p>
            <w:pPr>
              <w:spacing w:line="360" w:lineRule="auto"/>
              <w:ind w:firstLine="504" w:firstLineChars="200"/>
              <w:rPr>
                <w:color w:val="auto"/>
                <w:spacing w:val="6"/>
                <w:sz w:val="24"/>
                <w:highlight w:val="none"/>
              </w:rPr>
            </w:pPr>
            <w:r>
              <w:rPr>
                <w:rFonts w:hint="eastAsia"/>
                <w:color w:val="auto"/>
                <w:spacing w:val="6"/>
                <w:sz w:val="24"/>
                <w:highlight w:val="none"/>
              </w:rPr>
              <w:t>（2）与《外商投资产业指导目录》相符性</w:t>
            </w:r>
          </w:p>
          <w:p>
            <w:pPr>
              <w:spacing w:line="360" w:lineRule="auto"/>
              <w:ind w:firstLine="504" w:firstLineChars="200"/>
              <w:rPr>
                <w:color w:val="auto"/>
                <w:spacing w:val="6"/>
                <w:sz w:val="24"/>
                <w:highlight w:val="none"/>
              </w:rPr>
            </w:pPr>
            <w:r>
              <w:rPr>
                <w:rFonts w:hint="eastAsia"/>
                <w:color w:val="auto"/>
                <w:spacing w:val="6"/>
                <w:sz w:val="24"/>
                <w:highlight w:val="none"/>
              </w:rPr>
              <w:t>本项目为外商独资企业，对照《外商投资产业指导目录（2017年修订）》的有关内容，本项目不属于鼓励外商投资产业类项目，不属于外商投资准入负面清单内项目，</w:t>
            </w:r>
            <w:r>
              <w:rPr>
                <w:color w:val="auto"/>
                <w:spacing w:val="6"/>
                <w:sz w:val="24"/>
                <w:highlight w:val="none"/>
              </w:rPr>
              <w:t>为允许类</w:t>
            </w:r>
            <w:r>
              <w:rPr>
                <w:rFonts w:hint="eastAsia"/>
                <w:color w:val="auto"/>
                <w:spacing w:val="6"/>
                <w:sz w:val="24"/>
                <w:highlight w:val="none"/>
              </w:rPr>
              <w:t>。</w:t>
            </w:r>
          </w:p>
          <w:p>
            <w:pPr>
              <w:spacing w:line="360" w:lineRule="auto"/>
              <w:ind w:firstLine="504" w:firstLineChars="200"/>
              <w:rPr>
                <w:color w:val="auto"/>
                <w:spacing w:val="6"/>
                <w:sz w:val="24"/>
                <w:highlight w:val="none"/>
              </w:rPr>
            </w:pPr>
            <w:r>
              <w:rPr>
                <w:rFonts w:hint="eastAsia"/>
                <w:color w:val="auto"/>
                <w:spacing w:val="6"/>
                <w:sz w:val="24"/>
                <w:highlight w:val="none"/>
              </w:rPr>
              <w:t>综上</w:t>
            </w:r>
            <w:r>
              <w:rPr>
                <w:color w:val="auto"/>
                <w:spacing w:val="6"/>
                <w:sz w:val="24"/>
                <w:highlight w:val="none"/>
              </w:rPr>
              <w:t>，本项目符合国家现行的产业政策。</w:t>
            </w:r>
          </w:p>
          <w:p>
            <w:pPr>
              <w:spacing w:afterLines="50" w:line="460" w:lineRule="exact"/>
              <w:jc w:val="left"/>
              <w:rPr>
                <w:rFonts w:hint="eastAsia" w:ascii="宋体" w:hAnsi="宋体"/>
                <w:b/>
                <w:bCs/>
                <w:color w:val="auto"/>
                <w:spacing w:val="-8"/>
                <w:sz w:val="28"/>
                <w:szCs w:val="28"/>
                <w:highlight w:val="none"/>
              </w:rPr>
            </w:pPr>
            <w:r>
              <w:rPr>
                <w:rFonts w:hint="eastAsia" w:ascii="宋体" w:hAnsi="宋体"/>
                <w:b/>
                <w:bCs/>
                <w:color w:val="auto"/>
                <w:spacing w:val="-8"/>
                <w:sz w:val="28"/>
                <w:szCs w:val="28"/>
                <w:highlight w:val="none"/>
              </w:rPr>
              <w:t>7.6 规划选址合理性分析</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（1）与湘潭市城市总体规划符合性分析</w:t>
            </w:r>
          </w:p>
          <w:p>
            <w:pPr>
              <w:spacing w:line="360" w:lineRule="auto"/>
              <w:ind w:firstLine="504" w:firstLineChars="200"/>
              <w:rPr>
                <w:rFonts w:hint="eastAsia"/>
                <w:color w:val="auto"/>
                <w:sz w:val="24"/>
                <w:highlight w:val="none"/>
              </w:rPr>
            </w:pPr>
            <w:r>
              <w:rPr>
                <w:rFonts w:hint="eastAsia"/>
                <w:color w:val="auto"/>
                <w:spacing w:val="6"/>
                <w:sz w:val="24"/>
                <w:highlight w:val="none"/>
              </w:rPr>
              <w:t>本</w:t>
            </w:r>
            <w:r>
              <w:rPr>
                <w:rFonts w:hint="eastAsia"/>
                <w:color w:val="auto"/>
                <w:sz w:val="24"/>
                <w:highlight w:val="none"/>
              </w:rPr>
              <w:t>项目选址湖南省湘潭经济技术开发区（原长株潭城市群两型社会示范区九华片区。根据《湘潭市城市总体规划（2010-2020年）》，规划九华为湘潭市城市规划区域城乡空间结构规划“一轴四带，一心二组团二区”中“昭山——九华”两型社会综合九华片区的重要组成部分，功能定位为：汽车及零部件、IT产业为主导的先进制造业中心、现代物流中心、长株潭生态休闲和旅游服务中心（包括九华、易家湾、昭山地区）。</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本</w:t>
            </w:r>
            <w:r>
              <w:rPr>
                <w:color w:val="auto"/>
                <w:spacing w:val="6"/>
                <w:sz w:val="24"/>
                <w:highlight w:val="none"/>
              </w:rPr>
              <w:t>项目主要从事</w:t>
            </w:r>
            <w:r>
              <w:rPr>
                <w:rFonts w:hint="eastAsia"/>
                <w:color w:val="auto"/>
                <w:spacing w:val="6"/>
                <w:sz w:val="24"/>
                <w:highlight w:val="none"/>
              </w:rPr>
              <w:t>滚子摇臂、可变滚子摇臂、轮毂轴承、张紧器、悬架轴承以及热管理模块等汽车零部件的生产，符合湘潭市城市总体规划中九华片区汽车及零部件制造业功能定位要求。</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（2）与湘潭九华示范区总体规划符合性分析</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本项目位于湘潭九华示范区内，项目用地属于湘潭九华示范区近期39平方公里发展范围。根据《长株潭城市群两型社会示范区湘潭九华片区规划（2010-2030）——土地利用规划图》（见下图7-4），项目用地性质属于工业用地，符合规划要求。</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根据《长株潭城市群两型社会示范区湘潭九华片区规划（2010-2030）》，九华片区的定位为两型社会建设示范区、以两型产业为依托的产业新区，以湘江风光为特色的滨江新城。工业生产区主要位于长潭西线以西，沪昆高速以北区域，同时还包括长潭西线以东现状建成工业区，面积约22.2km。湘潭经开区始终坚持把高起点的规划和科学的产业定位作为园区发展的根本，确定了汽车及零部件制造产业、电子信息产业、装备和制造业为主导产业。</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本</w:t>
            </w:r>
            <w:r>
              <w:rPr>
                <w:color w:val="auto"/>
                <w:spacing w:val="6"/>
                <w:sz w:val="24"/>
                <w:highlight w:val="none"/>
              </w:rPr>
              <w:t>项目主要从事</w:t>
            </w:r>
            <w:r>
              <w:rPr>
                <w:rFonts w:hint="eastAsia"/>
                <w:color w:val="auto"/>
                <w:spacing w:val="6"/>
                <w:sz w:val="24"/>
                <w:highlight w:val="none"/>
              </w:rPr>
              <w:t>滚子摇臂、可变滚子摇臂、轮毂轴承、张紧器、悬架轴承以及热管理模块等汽车零部件的生产，符合九华示范区的产业定位。</w:t>
            </w:r>
          </w:p>
          <w:p>
            <w:pPr>
              <w:spacing w:line="360" w:lineRule="auto"/>
              <w:jc w:val="center"/>
              <w:rPr>
                <w:rFonts w:hint="eastAsia"/>
                <w:color w:val="auto"/>
                <w:spacing w:val="6"/>
                <w:sz w:val="24"/>
                <w:highlight w:val="none"/>
              </w:rPr>
            </w:pPr>
            <w:r>
              <w:rPr>
                <w:rFonts w:hint="eastAsia"/>
                <w:color w:val="auto"/>
                <w:spacing w:val="6"/>
                <w:sz w:val="24"/>
                <w:highlight w:val="none"/>
              </w:rPr>
              <w:pict>
                <v:shape id="_x0000_s3762" o:spid="_x0000_s3762" o:spt="62" type="#_x0000_t62" style="position:absolute;left:0pt;margin-left:78.75pt;margin-top:192.8pt;height:25.7pt;width:73.2pt;z-index:251709440;mso-width-relative:page;mso-height-relative:page;" coordsize="21600,21600" adj="33330,-9833">
                  <v:path/>
                  <v:fill focussize="0,0"/>
                  <v:stroke joinstyle="miter"/>
                  <v:imagedata o:title=""/>
                  <o:lock v:ext="edit"/>
                  <v:textbox>
                    <w:txbxContent>
                      <w:p>
                        <w:pPr>
                          <w:rPr>
                            <w:b/>
                          </w:rPr>
                        </w:pPr>
                        <w:r>
                          <w:rPr>
                            <w:rFonts w:hint="eastAsia"/>
                            <w:b/>
                          </w:rPr>
                          <w:t>项目所在地</w:t>
                        </w:r>
                      </w:p>
                    </w:txbxContent>
                  </v:textbox>
                </v:shape>
              </w:pict>
            </w:r>
            <w:r>
              <w:rPr>
                <w:rFonts w:hint="eastAsia"/>
                <w:color w:val="auto"/>
                <w:spacing w:val="6"/>
                <w:sz w:val="24"/>
                <w:highlight w:val="none"/>
              </w:rPr>
              <w:pict>
                <v:shape id="_x0000_s3761" o:spid="_x0000_s3761" style="position:absolute;left:0pt;margin-left:183.9pt;margin-top:173.4pt;height:11.9pt;width:13.8pt;z-index:251708416;mso-width-relative:page;mso-height-relative:page;" filled="f" coordsize="276,238" path="m0,50l101,238,276,200,201,0,0,50xe">
                  <v:path arrowok="t"/>
                  <v:fill on="f" focussize="0,0"/>
                  <v:stroke weight="1.5pt"/>
                  <v:imagedata o:title=""/>
                  <o:lock v:ext="edit"/>
                </v:shape>
              </w:pict>
            </w:r>
            <w:r>
              <w:rPr>
                <w:rFonts w:hint="eastAsia"/>
                <w:color w:val="auto"/>
                <w:spacing w:val="6"/>
                <w:sz w:val="24"/>
                <w:highlight w:val="none"/>
              </w:rPr>
              <w:drawing>
                <wp:inline distT="0" distB="0" distL="0" distR="0">
                  <wp:extent cx="5368290" cy="3781425"/>
                  <wp:effectExtent l="19050" t="19050" r="22361" b="28327"/>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63"/>
                          <a:srcRect/>
                          <a:stretch>
                            <a:fillRect/>
                          </a:stretch>
                        </pic:blipFill>
                        <pic:spPr>
                          <a:xfrm>
                            <a:off x="0" y="0"/>
                            <a:ext cx="5370691" cy="3783013"/>
                          </a:xfrm>
                          <a:prstGeom prst="rect">
                            <a:avLst/>
                          </a:prstGeom>
                          <a:noFill/>
                          <a:ln w="19050">
                            <a:solidFill>
                              <a:schemeClr val="tx1"/>
                            </a:solidFill>
                            <a:miter lim="800000"/>
                            <a:headEnd/>
                            <a:tailEnd/>
                          </a:ln>
                        </pic:spPr>
                      </pic:pic>
                    </a:graphicData>
                  </a:graphic>
                </wp:inline>
              </w:drawing>
            </w:r>
          </w:p>
          <w:p>
            <w:pPr>
              <w:snapToGrid w:val="0"/>
              <w:spacing w:afterLines="50" w:line="360" w:lineRule="auto"/>
              <w:jc w:val="center"/>
              <w:rPr>
                <w:rFonts w:hint="eastAsia"/>
                <w:b/>
                <w:color w:val="auto"/>
                <w:sz w:val="24"/>
                <w:highlight w:val="none"/>
              </w:rPr>
            </w:pPr>
            <w:r>
              <w:rPr>
                <w:rFonts w:hint="eastAsia"/>
                <w:b/>
                <w:color w:val="auto"/>
                <w:sz w:val="24"/>
                <w:highlight w:val="none"/>
              </w:rPr>
              <w:t>图7-4  项目所在地土地利用规划图</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（3）建设及环境条件</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项目位于</w:t>
            </w:r>
            <w:r>
              <w:rPr>
                <w:rFonts w:hint="eastAsia"/>
                <w:color w:val="auto"/>
                <w:sz w:val="24"/>
                <w:highlight w:val="none"/>
              </w:rPr>
              <w:t>湘潭经济技术开发区湘望路以西，江南大道以东，白石西路以北，区域交通运输条件良好，供排水、供电等基础设施齐全，区域内环境质量较好，仍有一定的环境容量。在采取报告提出的污染物防治措施后，项目产生的污染物均可做到达标排放，对周边影响较小，项目选址合理可行。</w:t>
            </w: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7.7 平面布置合理性分析</w:t>
            </w:r>
          </w:p>
          <w:p>
            <w:pPr>
              <w:spacing w:line="360" w:lineRule="auto"/>
              <w:ind w:firstLine="480" w:firstLineChars="200"/>
              <w:rPr>
                <w:rFonts w:hint="eastAsia"/>
                <w:color w:val="auto"/>
                <w:sz w:val="24"/>
                <w:highlight w:val="none"/>
              </w:rPr>
            </w:pPr>
            <w:r>
              <w:rPr>
                <w:rFonts w:hint="eastAsia"/>
                <w:bCs/>
                <w:color w:val="auto"/>
                <w:sz w:val="24"/>
                <w:highlight w:val="none"/>
              </w:rPr>
              <w:t>本项目</w:t>
            </w:r>
            <w:r>
              <w:rPr>
                <w:rFonts w:hint="eastAsia"/>
                <w:color w:val="auto"/>
                <w:sz w:val="24"/>
                <w:highlight w:val="none"/>
              </w:rPr>
              <w:t>主要建构筑物呈倒“L”型分布，厂区北部自西向东依次布置为110kv变电站、废品库、西动力站、氨气瓶库、丙烷站，丙烷站以南自西向东布置为生产厂房（一期）、物流中心（一期）、办公中心。项目办公区与生产区分区明显，生产车间及辅助工程按照生产工艺流程布局。</w:t>
            </w:r>
          </w:p>
          <w:p>
            <w:pPr>
              <w:spacing w:line="360" w:lineRule="auto"/>
              <w:ind w:firstLine="480" w:firstLineChars="200"/>
              <w:rPr>
                <w:rFonts w:hint="eastAsia"/>
                <w:color w:val="auto"/>
                <w:sz w:val="24"/>
                <w:highlight w:val="none"/>
              </w:rPr>
            </w:pPr>
            <w:r>
              <w:rPr>
                <w:rFonts w:hint="eastAsia"/>
                <w:color w:val="auto"/>
                <w:sz w:val="24"/>
                <w:highlight w:val="none"/>
              </w:rPr>
              <w:t>通过7.2节内容可知，项目采取目前规划的平面布置，运营期无组织排放的注塑废气卫生防护距离内无环保拆迁；项目正常运营时厂界四周噪声实现达标排放，对周围声环境影响很小。</w:t>
            </w:r>
          </w:p>
          <w:p>
            <w:pPr>
              <w:spacing w:line="360" w:lineRule="auto"/>
              <w:ind w:firstLine="480" w:firstLineChars="200"/>
              <w:rPr>
                <w:rFonts w:hint="eastAsia"/>
                <w:color w:val="auto"/>
                <w:sz w:val="24"/>
                <w:highlight w:val="none"/>
              </w:rPr>
            </w:pPr>
            <w:r>
              <w:rPr>
                <w:rFonts w:hint="eastAsia"/>
                <w:color w:val="auto"/>
                <w:sz w:val="24"/>
                <w:highlight w:val="none"/>
              </w:rPr>
              <w:t>综上所述，项目平面布局合理可行。</w:t>
            </w:r>
          </w:p>
          <w:p>
            <w:pPr>
              <w:spacing w:afterLines="50" w:line="460" w:lineRule="exact"/>
              <w:jc w:val="left"/>
              <w:rPr>
                <w:rFonts w:hint="eastAsia" w:ascii="宋体" w:hAnsi="宋体"/>
                <w:b/>
                <w:bCs/>
                <w:color w:val="auto"/>
                <w:spacing w:val="-8"/>
                <w:sz w:val="28"/>
                <w:szCs w:val="28"/>
                <w:highlight w:val="none"/>
              </w:rPr>
            </w:pPr>
            <w:r>
              <w:rPr>
                <w:rFonts w:hint="eastAsia" w:ascii="宋体" w:hAnsi="宋体"/>
                <w:b/>
                <w:bCs/>
                <w:color w:val="auto"/>
                <w:spacing w:val="-8"/>
                <w:sz w:val="28"/>
                <w:szCs w:val="28"/>
                <w:highlight w:val="none"/>
              </w:rPr>
              <w:t>7.8 公众参与调查</w:t>
            </w:r>
          </w:p>
          <w:p>
            <w:pPr>
              <w:spacing w:line="360" w:lineRule="auto"/>
              <w:ind w:firstLine="504" w:firstLineChars="200"/>
              <w:rPr>
                <w:rFonts w:hint="eastAsia"/>
                <w:color w:val="auto"/>
                <w:spacing w:val="6"/>
                <w:sz w:val="24"/>
                <w:highlight w:val="none"/>
              </w:rPr>
            </w:pPr>
            <w:r>
              <w:rPr>
                <w:color w:val="auto"/>
                <w:spacing w:val="6"/>
                <w:sz w:val="24"/>
                <w:highlight w:val="none"/>
              </w:rPr>
              <w:t>按照《环境影响评价公众参与暂行办法》中的规定，为了使公众更了解该项目的建设，在接到</w:t>
            </w:r>
            <w:r>
              <w:rPr>
                <w:rFonts w:hint="eastAsia"/>
                <w:color w:val="auto"/>
                <w:spacing w:val="6"/>
                <w:sz w:val="24"/>
                <w:highlight w:val="none"/>
              </w:rPr>
              <w:t>建设单位</w:t>
            </w:r>
            <w:r>
              <w:rPr>
                <w:color w:val="auto"/>
                <w:spacing w:val="6"/>
                <w:sz w:val="24"/>
                <w:highlight w:val="none"/>
              </w:rPr>
              <w:t>委托后，环评单位首先</w:t>
            </w:r>
            <w:r>
              <w:rPr>
                <w:rFonts w:hint="eastAsia"/>
                <w:color w:val="auto"/>
                <w:spacing w:val="6"/>
                <w:sz w:val="24"/>
                <w:highlight w:val="none"/>
              </w:rPr>
              <w:t>于2017年6月22日~7月5日在环评爱好者网站上（网址为</w:t>
            </w:r>
            <w:r>
              <w:rPr>
                <w:color w:val="auto"/>
                <w:spacing w:val="6"/>
                <w:sz w:val="24"/>
                <w:highlight w:val="none"/>
              </w:rPr>
              <w:t>http://www.eiafans.com/thread-1035760-1-1.html</w:t>
            </w:r>
            <w:r>
              <w:rPr>
                <w:rFonts w:hint="eastAsia"/>
                <w:color w:val="auto"/>
                <w:spacing w:val="6"/>
                <w:sz w:val="24"/>
                <w:highlight w:val="none"/>
              </w:rPr>
              <w:t>）进行了建设项目环评信息公示。</w:t>
            </w:r>
          </w:p>
          <w:p>
            <w:pPr>
              <w:spacing w:line="360" w:lineRule="auto"/>
              <w:ind w:firstLine="480" w:firstLineChars="200"/>
              <w:rPr>
                <w:rFonts w:hint="eastAsia"/>
                <w:color w:val="auto"/>
                <w:spacing w:val="6"/>
                <w:sz w:val="24"/>
                <w:highlight w:val="none"/>
              </w:rPr>
            </w:pPr>
            <w:r>
              <w:rPr>
                <w:rFonts w:hint="eastAsia"/>
                <w:color w:val="auto"/>
                <w:spacing w:val="6"/>
                <w:sz w:val="24"/>
                <w:highlight w:val="none"/>
              </w:rPr>
              <w:drawing>
                <wp:inline distT="0" distB="0" distL="0" distR="0">
                  <wp:extent cx="5228590" cy="3829050"/>
                  <wp:effectExtent l="19050" t="19050" r="9939" b="18791"/>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noChangeArrowheads="1"/>
                          </pic:cNvPicPr>
                        </pic:nvPicPr>
                        <pic:blipFill>
                          <a:blip r:embed="rId64"/>
                          <a:srcRect/>
                          <a:stretch>
                            <a:fillRect/>
                          </a:stretch>
                        </pic:blipFill>
                        <pic:spPr>
                          <a:xfrm>
                            <a:off x="0" y="0"/>
                            <a:ext cx="5231665" cy="3831399"/>
                          </a:xfrm>
                          <a:prstGeom prst="rect">
                            <a:avLst/>
                          </a:prstGeom>
                          <a:noFill/>
                          <a:ln w="19050">
                            <a:solidFill>
                              <a:schemeClr val="tx1"/>
                            </a:solidFill>
                            <a:miter lim="800000"/>
                            <a:headEnd/>
                            <a:tailEnd/>
                          </a:ln>
                        </pic:spPr>
                      </pic:pic>
                    </a:graphicData>
                  </a:graphic>
                </wp:inline>
              </w:drawing>
            </w:r>
          </w:p>
          <w:p>
            <w:pPr>
              <w:snapToGrid w:val="0"/>
              <w:spacing w:afterLines="50" w:line="360" w:lineRule="auto"/>
              <w:jc w:val="center"/>
              <w:rPr>
                <w:rFonts w:hint="eastAsia"/>
                <w:b/>
                <w:color w:val="auto"/>
                <w:sz w:val="24"/>
                <w:highlight w:val="none"/>
              </w:rPr>
            </w:pPr>
            <w:r>
              <w:rPr>
                <w:rFonts w:hint="eastAsia"/>
                <w:b/>
                <w:color w:val="auto"/>
                <w:sz w:val="24"/>
                <w:highlight w:val="none"/>
              </w:rPr>
              <w:t>图7-4  项目环评第一次网上公示截图</w:t>
            </w:r>
          </w:p>
          <w:p>
            <w:pPr>
              <w:spacing w:line="360" w:lineRule="auto"/>
              <w:ind w:firstLine="506" w:firstLineChars="200"/>
              <w:rPr>
                <w:rFonts w:hint="eastAsia"/>
                <w:b/>
                <w:color w:val="auto"/>
                <w:spacing w:val="6"/>
                <w:sz w:val="24"/>
                <w:highlight w:val="none"/>
              </w:rPr>
            </w:pPr>
            <w:r>
              <w:rPr>
                <w:rFonts w:hint="eastAsia"/>
                <w:b/>
                <w:color w:val="auto"/>
                <w:spacing w:val="6"/>
                <w:sz w:val="24"/>
                <w:highlight w:val="none"/>
              </w:rPr>
              <w:t>公示期间，项目建设单位及环评单位均未收到可能受项目建设环境影响人士的反对意见。</w:t>
            </w:r>
          </w:p>
          <w:p>
            <w:pPr>
              <w:spacing w:line="360" w:lineRule="auto"/>
              <w:ind w:firstLine="504" w:firstLineChars="200"/>
              <w:rPr>
                <w:color w:val="auto"/>
                <w:spacing w:val="6"/>
                <w:sz w:val="24"/>
                <w:highlight w:val="none"/>
              </w:rPr>
            </w:pPr>
            <w:r>
              <w:rPr>
                <w:rFonts w:hint="eastAsia"/>
                <w:color w:val="auto"/>
                <w:spacing w:val="6"/>
                <w:sz w:val="24"/>
                <w:highlight w:val="none"/>
              </w:rPr>
              <w:t>2017年7月10日，建设单位委托环评单位对项目拟建地周边可能受项目建设影响的团体发放了公众参与调查表，公开征询公众的意见和要求。</w:t>
            </w:r>
            <w:r>
              <w:rPr>
                <w:color w:val="auto"/>
                <w:spacing w:val="6"/>
                <w:sz w:val="24"/>
                <w:highlight w:val="none"/>
              </w:rPr>
              <w:t>本次公众参与共发放</w:t>
            </w:r>
            <w:r>
              <w:rPr>
                <w:rFonts w:hint="eastAsia"/>
                <w:color w:val="auto"/>
                <w:spacing w:val="6"/>
                <w:sz w:val="24"/>
                <w:highlight w:val="none"/>
              </w:rPr>
              <w:t>团体</w:t>
            </w:r>
            <w:r>
              <w:rPr>
                <w:color w:val="auto"/>
                <w:spacing w:val="6"/>
                <w:sz w:val="24"/>
                <w:highlight w:val="none"/>
              </w:rPr>
              <w:t>调查表</w:t>
            </w:r>
            <w:r>
              <w:rPr>
                <w:rFonts w:hint="eastAsia"/>
                <w:color w:val="auto"/>
                <w:spacing w:val="6"/>
                <w:sz w:val="24"/>
                <w:highlight w:val="none"/>
              </w:rPr>
              <w:t>5</w:t>
            </w:r>
            <w:r>
              <w:rPr>
                <w:color w:val="auto"/>
                <w:spacing w:val="6"/>
                <w:sz w:val="24"/>
                <w:highlight w:val="none"/>
              </w:rPr>
              <w:t>份</w:t>
            </w:r>
            <w:r>
              <w:rPr>
                <w:rFonts w:hint="eastAsia"/>
                <w:color w:val="auto"/>
                <w:spacing w:val="6"/>
                <w:sz w:val="24"/>
                <w:highlight w:val="none"/>
              </w:rPr>
              <w:t>（调查原件见附件）</w:t>
            </w:r>
            <w:r>
              <w:rPr>
                <w:color w:val="auto"/>
                <w:spacing w:val="6"/>
                <w:sz w:val="24"/>
                <w:highlight w:val="none"/>
              </w:rPr>
              <w:t>，</w:t>
            </w:r>
            <w:r>
              <w:rPr>
                <w:rFonts w:hint="eastAsia"/>
                <w:color w:val="auto"/>
                <w:spacing w:val="6"/>
                <w:sz w:val="24"/>
                <w:highlight w:val="none"/>
              </w:rPr>
              <w:t>调查对象及其意见见下表7-12所示。</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 xml:space="preserve">7-12  </w:t>
            </w:r>
            <w:r>
              <w:rPr>
                <w:b/>
                <w:color w:val="auto"/>
                <w:sz w:val="24"/>
                <w:highlight w:val="none"/>
              </w:rPr>
              <w:t>公众参与调查统计表</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4244"/>
              <w:gridCol w:w="1678"/>
              <w:gridCol w:w="1322"/>
              <w:gridCol w:w="148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56" w:type="dxa"/>
                  <w:vAlign w:val="center"/>
                </w:tcPr>
                <w:p>
                  <w:pPr>
                    <w:adjustRightInd w:val="0"/>
                    <w:jc w:val="center"/>
                    <w:rPr>
                      <w:rFonts w:eastAsiaTheme="minorEastAsia"/>
                      <w:color w:val="auto"/>
                      <w:kern w:val="0"/>
                      <w:szCs w:val="21"/>
                      <w:highlight w:val="none"/>
                    </w:rPr>
                  </w:pPr>
                  <w:r>
                    <w:rPr>
                      <w:rFonts w:hAnsiTheme="minorEastAsia" w:eastAsiaTheme="minorEastAsia"/>
                      <w:color w:val="auto"/>
                      <w:kern w:val="0"/>
                      <w:highlight w:val="none"/>
                    </w:rPr>
                    <w:t>序号</w:t>
                  </w:r>
                </w:p>
              </w:tc>
              <w:tc>
                <w:tcPr>
                  <w:tcW w:w="4244" w:type="dxa"/>
                  <w:vAlign w:val="center"/>
                </w:tcPr>
                <w:p>
                  <w:pPr>
                    <w:adjustRightInd w:val="0"/>
                    <w:jc w:val="center"/>
                    <w:rPr>
                      <w:rFonts w:eastAsiaTheme="minorEastAsia"/>
                      <w:color w:val="auto"/>
                      <w:kern w:val="0"/>
                      <w:szCs w:val="21"/>
                      <w:highlight w:val="none"/>
                    </w:rPr>
                  </w:pPr>
                  <w:r>
                    <w:rPr>
                      <w:rFonts w:hAnsiTheme="minorEastAsia" w:eastAsiaTheme="minorEastAsia"/>
                      <w:color w:val="auto"/>
                      <w:kern w:val="0"/>
                      <w:highlight w:val="none"/>
                    </w:rPr>
                    <w:t>单位名称</w:t>
                  </w:r>
                </w:p>
              </w:tc>
              <w:tc>
                <w:tcPr>
                  <w:tcW w:w="1678" w:type="dxa"/>
                  <w:vAlign w:val="center"/>
                </w:tcPr>
                <w:p>
                  <w:pPr>
                    <w:adjustRightInd w:val="0"/>
                    <w:jc w:val="center"/>
                    <w:rPr>
                      <w:rFonts w:eastAsiaTheme="minorEastAsia"/>
                      <w:color w:val="auto"/>
                      <w:kern w:val="0"/>
                      <w:szCs w:val="21"/>
                      <w:highlight w:val="none"/>
                    </w:rPr>
                  </w:pPr>
                  <w:r>
                    <w:rPr>
                      <w:rFonts w:hAnsiTheme="minorEastAsia" w:eastAsiaTheme="minorEastAsia"/>
                      <w:color w:val="auto"/>
                      <w:kern w:val="0"/>
                      <w:highlight w:val="none"/>
                    </w:rPr>
                    <w:t>联系电话</w:t>
                  </w:r>
                </w:p>
              </w:tc>
              <w:tc>
                <w:tcPr>
                  <w:tcW w:w="1322" w:type="dxa"/>
                  <w:vAlign w:val="center"/>
                </w:tcPr>
                <w:p>
                  <w:pPr>
                    <w:adjustRightInd w:val="0"/>
                    <w:jc w:val="center"/>
                    <w:rPr>
                      <w:rFonts w:eastAsiaTheme="minorEastAsia"/>
                      <w:color w:val="auto"/>
                      <w:kern w:val="0"/>
                      <w:szCs w:val="21"/>
                      <w:highlight w:val="none"/>
                    </w:rPr>
                  </w:pPr>
                  <w:r>
                    <w:rPr>
                      <w:rFonts w:hAnsiTheme="minorEastAsia" w:eastAsiaTheme="minorEastAsia"/>
                      <w:color w:val="auto"/>
                      <w:kern w:val="0"/>
                      <w:highlight w:val="none"/>
                    </w:rPr>
                    <w:t>态度</w:t>
                  </w:r>
                </w:p>
              </w:tc>
              <w:tc>
                <w:tcPr>
                  <w:tcW w:w="1481" w:type="dxa"/>
                  <w:vAlign w:val="center"/>
                </w:tcPr>
                <w:p>
                  <w:pPr>
                    <w:adjustRightInd w:val="0"/>
                    <w:jc w:val="center"/>
                    <w:rPr>
                      <w:rFonts w:eastAsiaTheme="minorEastAsia"/>
                      <w:color w:val="auto"/>
                      <w:kern w:val="0"/>
                      <w:szCs w:val="21"/>
                      <w:highlight w:val="none"/>
                    </w:rPr>
                  </w:pPr>
                  <w:r>
                    <w:rPr>
                      <w:rFonts w:hAnsiTheme="minorEastAsia" w:eastAsiaTheme="minorEastAsia"/>
                      <w:color w:val="auto"/>
                      <w:kern w:val="0"/>
                      <w:highlight w:val="none"/>
                    </w:rPr>
                    <w:t>具体意见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56" w:type="dxa"/>
                  <w:vAlign w:val="center"/>
                </w:tcPr>
                <w:p>
                  <w:pPr>
                    <w:adjustRightInd w:val="0"/>
                    <w:jc w:val="center"/>
                    <w:rPr>
                      <w:rFonts w:eastAsiaTheme="minorEastAsia"/>
                      <w:color w:val="auto"/>
                      <w:kern w:val="0"/>
                      <w:szCs w:val="21"/>
                      <w:highlight w:val="none"/>
                    </w:rPr>
                  </w:pPr>
                  <w:r>
                    <w:rPr>
                      <w:rFonts w:eastAsiaTheme="minorEastAsia"/>
                      <w:color w:val="auto"/>
                      <w:kern w:val="0"/>
                      <w:highlight w:val="none"/>
                    </w:rPr>
                    <w:t>1</w:t>
                  </w:r>
                </w:p>
              </w:tc>
              <w:tc>
                <w:tcPr>
                  <w:tcW w:w="4244" w:type="dxa"/>
                  <w:vAlign w:val="center"/>
                </w:tcPr>
                <w:p>
                  <w:pPr>
                    <w:adjustRightInd w:val="0"/>
                    <w:jc w:val="center"/>
                    <w:rPr>
                      <w:rFonts w:eastAsiaTheme="minorEastAsia"/>
                      <w:color w:val="auto"/>
                      <w:kern w:val="0"/>
                      <w:szCs w:val="21"/>
                      <w:highlight w:val="none"/>
                    </w:rPr>
                  </w:pPr>
                  <w:r>
                    <w:rPr>
                      <w:rFonts w:hint="eastAsia" w:eastAsiaTheme="minorEastAsia"/>
                      <w:color w:val="auto"/>
                      <w:kern w:val="0"/>
                      <w:szCs w:val="21"/>
                      <w:highlight w:val="none"/>
                    </w:rPr>
                    <w:t>湘潭经济技术开发区企业（项目）服务中心</w:t>
                  </w:r>
                </w:p>
              </w:tc>
              <w:tc>
                <w:tcPr>
                  <w:tcW w:w="1678" w:type="dxa"/>
                  <w:vAlign w:val="center"/>
                </w:tcPr>
                <w:p>
                  <w:pPr>
                    <w:adjustRightInd w:val="0"/>
                    <w:jc w:val="center"/>
                    <w:rPr>
                      <w:rFonts w:eastAsiaTheme="minorEastAsia"/>
                      <w:color w:val="auto"/>
                      <w:kern w:val="0"/>
                      <w:szCs w:val="21"/>
                      <w:highlight w:val="none"/>
                    </w:rPr>
                  </w:pPr>
                  <w:r>
                    <w:rPr>
                      <w:rFonts w:hint="eastAsia" w:eastAsiaTheme="minorEastAsia"/>
                      <w:color w:val="auto"/>
                      <w:kern w:val="0"/>
                      <w:szCs w:val="21"/>
                      <w:highlight w:val="none"/>
                    </w:rPr>
                    <w:t>/</w:t>
                  </w:r>
                </w:p>
              </w:tc>
              <w:tc>
                <w:tcPr>
                  <w:tcW w:w="1322" w:type="dxa"/>
                  <w:vAlign w:val="center"/>
                </w:tcPr>
                <w:p>
                  <w:pPr>
                    <w:adjustRightInd w:val="0"/>
                    <w:jc w:val="center"/>
                    <w:rPr>
                      <w:rFonts w:eastAsiaTheme="minorEastAsia"/>
                      <w:color w:val="auto"/>
                      <w:kern w:val="0"/>
                      <w:szCs w:val="21"/>
                      <w:highlight w:val="none"/>
                    </w:rPr>
                  </w:pPr>
                  <w:r>
                    <w:rPr>
                      <w:rFonts w:hAnsiTheme="minorEastAsia" w:eastAsiaTheme="minorEastAsia"/>
                      <w:color w:val="auto"/>
                      <w:kern w:val="0"/>
                      <w:highlight w:val="none"/>
                    </w:rPr>
                    <w:t>赞成</w:t>
                  </w:r>
                </w:p>
              </w:tc>
              <w:tc>
                <w:tcPr>
                  <w:tcW w:w="1481" w:type="dxa"/>
                  <w:vAlign w:val="center"/>
                </w:tcPr>
                <w:p>
                  <w:pPr>
                    <w:adjustRightInd w:val="0"/>
                    <w:jc w:val="center"/>
                    <w:rPr>
                      <w:rFonts w:eastAsiaTheme="minorEastAsia"/>
                      <w:color w:val="auto"/>
                      <w:kern w:val="0"/>
                      <w:szCs w:val="21"/>
                      <w:highlight w:val="none"/>
                    </w:rPr>
                  </w:pPr>
                  <w:r>
                    <w:rPr>
                      <w:rFonts w:eastAsiaTheme="minorEastAsia"/>
                      <w:color w:val="auto"/>
                      <w:kern w:val="0"/>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56"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2</w:t>
                  </w:r>
                </w:p>
              </w:tc>
              <w:tc>
                <w:tcPr>
                  <w:tcW w:w="4244"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湘潭经济技术开发区招商二局</w:t>
                  </w:r>
                </w:p>
              </w:tc>
              <w:tc>
                <w:tcPr>
                  <w:tcW w:w="1678"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52379334</w:t>
                  </w:r>
                </w:p>
              </w:tc>
              <w:tc>
                <w:tcPr>
                  <w:tcW w:w="1322"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赞成</w:t>
                  </w:r>
                </w:p>
              </w:tc>
              <w:tc>
                <w:tcPr>
                  <w:tcW w:w="1481"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56"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3</w:t>
                  </w:r>
                </w:p>
              </w:tc>
              <w:tc>
                <w:tcPr>
                  <w:tcW w:w="4244"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湘潭市雨湖区响水乡人民政府</w:t>
                  </w:r>
                </w:p>
              </w:tc>
              <w:tc>
                <w:tcPr>
                  <w:tcW w:w="1678"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52330508</w:t>
                  </w:r>
                </w:p>
              </w:tc>
              <w:tc>
                <w:tcPr>
                  <w:tcW w:w="1322"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赞成</w:t>
                  </w:r>
                </w:p>
              </w:tc>
              <w:tc>
                <w:tcPr>
                  <w:tcW w:w="1481"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56"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4</w:t>
                  </w:r>
                </w:p>
              </w:tc>
              <w:tc>
                <w:tcPr>
                  <w:tcW w:w="4244"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湘潭经济技术开发区九华杉山学校</w:t>
                  </w:r>
                </w:p>
              </w:tc>
              <w:tc>
                <w:tcPr>
                  <w:tcW w:w="1678"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w:t>
                  </w:r>
                </w:p>
              </w:tc>
              <w:tc>
                <w:tcPr>
                  <w:tcW w:w="1322"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赞成</w:t>
                  </w:r>
                </w:p>
              </w:tc>
              <w:tc>
                <w:tcPr>
                  <w:tcW w:w="1481"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56"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5</w:t>
                  </w:r>
                </w:p>
              </w:tc>
              <w:tc>
                <w:tcPr>
                  <w:tcW w:w="4244"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湘潭市雨湖区和平街道杉山社区居民委员会</w:t>
                  </w:r>
                </w:p>
              </w:tc>
              <w:tc>
                <w:tcPr>
                  <w:tcW w:w="1678"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w:t>
                  </w:r>
                </w:p>
              </w:tc>
              <w:tc>
                <w:tcPr>
                  <w:tcW w:w="1322"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赞成</w:t>
                  </w:r>
                </w:p>
              </w:tc>
              <w:tc>
                <w:tcPr>
                  <w:tcW w:w="1481" w:type="dxa"/>
                  <w:vAlign w:val="center"/>
                </w:tcPr>
                <w:p>
                  <w:pPr>
                    <w:adjustRightInd w:val="0"/>
                    <w:jc w:val="center"/>
                    <w:rPr>
                      <w:rFonts w:eastAsiaTheme="minorEastAsia"/>
                      <w:color w:val="auto"/>
                      <w:kern w:val="0"/>
                      <w:highlight w:val="none"/>
                    </w:rPr>
                  </w:pPr>
                  <w:r>
                    <w:rPr>
                      <w:rFonts w:hint="eastAsia" w:eastAsiaTheme="minorEastAsia"/>
                      <w:color w:val="auto"/>
                      <w:kern w:val="0"/>
                      <w:highlight w:val="none"/>
                    </w:rPr>
                    <w:t>/</w:t>
                  </w:r>
                </w:p>
              </w:tc>
            </w:tr>
          </w:tbl>
          <w:p>
            <w:pPr>
              <w:spacing w:line="360" w:lineRule="auto"/>
              <w:ind w:firstLine="504" w:firstLineChars="200"/>
              <w:rPr>
                <w:rFonts w:hint="eastAsia"/>
                <w:color w:val="auto"/>
                <w:spacing w:val="6"/>
                <w:sz w:val="24"/>
                <w:highlight w:val="none"/>
              </w:rPr>
            </w:pPr>
            <w:r>
              <w:rPr>
                <w:rFonts w:hint="eastAsia"/>
                <w:color w:val="auto"/>
                <w:spacing w:val="6"/>
                <w:sz w:val="24"/>
                <w:highlight w:val="none"/>
              </w:rPr>
              <w:t>从上表可以看出，项目周边的湘潭市雨湖区响水乡人民政府、湘潭经济技术开发区九华杉山学校、湘潭市雨湖区和平街道杉山社区居民委员会、湘潭经济技术开发区企业（项目）服务中心均赞成本项目的建设。上述单位未对本项目的建设提出环保相关建议与要求。</w:t>
            </w: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7.9 环境管理及监测</w:t>
            </w:r>
          </w:p>
          <w:p>
            <w:pPr>
              <w:spacing w:line="360" w:lineRule="auto"/>
              <w:ind w:firstLine="504" w:firstLineChars="200"/>
              <w:rPr>
                <w:color w:val="auto"/>
                <w:spacing w:val="6"/>
                <w:sz w:val="24"/>
                <w:highlight w:val="none"/>
              </w:rPr>
            </w:pPr>
            <w:r>
              <w:rPr>
                <w:color w:val="auto"/>
                <w:spacing w:val="6"/>
                <w:sz w:val="24"/>
                <w:highlight w:val="none"/>
              </w:rPr>
              <w:t>环境管理是企业管理的重要组成部分，社会的发展、科技的进步和经济全球化对企业的环境管理及环境意识都提出了更高的要求，其目的是确保企业发展生产、增加经济效益的同时保护环境。评价对工程的环境保护管理机构设置、职责及日常管理等，提出如下要求及建议</w:t>
            </w:r>
            <w:r>
              <w:rPr>
                <w:rFonts w:hint="eastAsia"/>
                <w:color w:val="auto"/>
                <w:spacing w:val="6"/>
                <w:sz w:val="24"/>
                <w:highlight w:val="none"/>
              </w:rPr>
              <w:t>见下表7-13</w:t>
            </w:r>
            <w:r>
              <w:rPr>
                <w:color w:val="auto"/>
                <w:spacing w:val="6"/>
                <w:sz w:val="24"/>
                <w:highlight w:val="none"/>
              </w:rPr>
              <w:t>：</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 xml:space="preserve">7-13 </w:t>
            </w:r>
            <w:r>
              <w:rPr>
                <w:b/>
                <w:color w:val="auto"/>
                <w:sz w:val="24"/>
                <w:highlight w:val="none"/>
              </w:rPr>
              <w:t xml:space="preserve"> 项目环境管理计划</w:t>
            </w:r>
          </w:p>
          <w:tbl>
            <w:tblPr>
              <w:tblStyle w:val="29"/>
              <w:tblW w:w="9381"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5"/>
              <w:gridCol w:w="1711"/>
              <w:gridCol w:w="5794"/>
              <w:gridCol w:w="1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6" w:type="dxa"/>
                  <w:gridSpan w:val="2"/>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环境问题</w:t>
                  </w:r>
                </w:p>
              </w:tc>
              <w:tc>
                <w:tcPr>
                  <w:tcW w:w="5794" w:type="dxa"/>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管  理  措  施</w:t>
                  </w:r>
                </w:p>
              </w:tc>
              <w:tc>
                <w:tcPr>
                  <w:tcW w:w="1261" w:type="dxa"/>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实施机构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15" w:type="dxa"/>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1</w:t>
                  </w:r>
                </w:p>
              </w:tc>
              <w:tc>
                <w:tcPr>
                  <w:tcW w:w="1711"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水污染</w:t>
                  </w:r>
                </w:p>
              </w:tc>
              <w:tc>
                <w:tcPr>
                  <w:tcW w:w="5794" w:type="dxa"/>
                  <w:vAlign w:val="center"/>
                </w:tcPr>
                <w:p>
                  <w:pPr>
                    <w:adjustRightInd w:val="0"/>
                    <w:jc w:val="left"/>
                    <w:rPr>
                      <w:rFonts w:hAnsi="宋体"/>
                      <w:bCs/>
                      <w:color w:val="auto"/>
                      <w:kern w:val="0"/>
                      <w:szCs w:val="21"/>
                      <w:highlight w:val="none"/>
                      <w:lang w:val="zh-CN"/>
                    </w:rPr>
                  </w:pPr>
                  <w:r>
                    <w:rPr>
                      <w:rFonts w:hint="eastAsia" w:hAnsi="宋体"/>
                      <w:bCs/>
                      <w:color w:val="auto"/>
                      <w:kern w:val="0"/>
                      <w:szCs w:val="21"/>
                      <w:highlight w:val="none"/>
                      <w:lang w:val="zh-CN"/>
                    </w:rPr>
                    <w:t>加强设备维护，确保厂区污水处理设施运行正常。</w:t>
                  </w:r>
                </w:p>
              </w:tc>
              <w:tc>
                <w:tcPr>
                  <w:tcW w:w="1261"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15" w:type="dxa"/>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2</w:t>
                  </w:r>
                </w:p>
              </w:tc>
              <w:tc>
                <w:tcPr>
                  <w:tcW w:w="1711"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噪声</w:t>
                  </w:r>
                  <w:r>
                    <w:rPr>
                      <w:rFonts w:hAnsi="宋体"/>
                      <w:bCs/>
                      <w:color w:val="auto"/>
                      <w:kern w:val="0"/>
                      <w:szCs w:val="21"/>
                      <w:highlight w:val="none"/>
                      <w:lang w:val="zh-CN"/>
                    </w:rPr>
                    <w:t>污染</w:t>
                  </w:r>
                </w:p>
              </w:tc>
              <w:tc>
                <w:tcPr>
                  <w:tcW w:w="5794" w:type="dxa"/>
                  <w:vAlign w:val="center"/>
                </w:tcPr>
                <w:p>
                  <w:pPr>
                    <w:adjustRightInd w:val="0"/>
                    <w:jc w:val="left"/>
                    <w:rPr>
                      <w:rFonts w:hAnsi="宋体"/>
                      <w:bCs/>
                      <w:color w:val="auto"/>
                      <w:kern w:val="0"/>
                      <w:szCs w:val="21"/>
                      <w:highlight w:val="none"/>
                      <w:lang w:val="zh-CN"/>
                    </w:rPr>
                  </w:pPr>
                  <w:r>
                    <w:rPr>
                      <w:rFonts w:hint="eastAsia" w:hAnsi="宋体"/>
                      <w:bCs/>
                      <w:color w:val="auto"/>
                      <w:kern w:val="0"/>
                      <w:szCs w:val="21"/>
                      <w:highlight w:val="none"/>
                      <w:lang w:val="zh-CN"/>
                    </w:rPr>
                    <w:t>加强设备维护，禁止设备“带病运行”。</w:t>
                  </w:r>
                </w:p>
              </w:tc>
              <w:tc>
                <w:tcPr>
                  <w:tcW w:w="1261" w:type="dxa"/>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15"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3</w:t>
                  </w:r>
                </w:p>
              </w:tc>
              <w:tc>
                <w:tcPr>
                  <w:tcW w:w="1711" w:type="dxa"/>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大气污染</w:t>
                  </w:r>
                </w:p>
              </w:tc>
              <w:tc>
                <w:tcPr>
                  <w:tcW w:w="5794" w:type="dxa"/>
                  <w:vAlign w:val="center"/>
                </w:tcPr>
                <w:p>
                  <w:pPr>
                    <w:adjustRightInd w:val="0"/>
                    <w:jc w:val="left"/>
                    <w:rPr>
                      <w:rFonts w:hint="eastAsia" w:hAnsi="宋体"/>
                      <w:bCs/>
                      <w:color w:val="auto"/>
                      <w:kern w:val="0"/>
                      <w:szCs w:val="21"/>
                      <w:highlight w:val="none"/>
                      <w:lang w:val="zh-CN"/>
                    </w:rPr>
                  </w:pPr>
                  <w:r>
                    <w:rPr>
                      <w:rFonts w:hint="eastAsia" w:hAnsi="宋体"/>
                      <w:bCs/>
                      <w:color w:val="auto"/>
                      <w:kern w:val="0"/>
                      <w:szCs w:val="21"/>
                      <w:highlight w:val="none"/>
                      <w:lang w:val="zh-CN"/>
                    </w:rPr>
                    <w:t>（1）加强设备维护与生产管理，确保高温加热炉废气经燃烧处理、淬火废气经油雾净化器处理后达标排放。</w:t>
                  </w:r>
                </w:p>
                <w:p>
                  <w:pPr>
                    <w:adjustRightInd w:val="0"/>
                    <w:jc w:val="left"/>
                    <w:rPr>
                      <w:rFonts w:hAnsi="宋体"/>
                      <w:bCs/>
                      <w:color w:val="auto"/>
                      <w:kern w:val="0"/>
                      <w:szCs w:val="21"/>
                      <w:highlight w:val="none"/>
                      <w:lang w:val="zh-CN"/>
                    </w:rPr>
                  </w:pPr>
                  <w:r>
                    <w:rPr>
                      <w:rFonts w:hint="eastAsia" w:hAnsi="宋体"/>
                      <w:bCs/>
                      <w:color w:val="auto"/>
                      <w:kern w:val="0"/>
                      <w:szCs w:val="21"/>
                      <w:highlight w:val="none"/>
                      <w:lang w:val="zh-CN"/>
                    </w:rPr>
                    <w:t>（2）定期清洁淬火废气油雾净化器、食堂油烟净化器。</w:t>
                  </w:r>
                </w:p>
              </w:tc>
              <w:tc>
                <w:tcPr>
                  <w:tcW w:w="1261" w:type="dxa"/>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15"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4</w:t>
                  </w:r>
                </w:p>
              </w:tc>
              <w:tc>
                <w:tcPr>
                  <w:tcW w:w="1711"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固体废弃物污染</w:t>
                  </w:r>
                </w:p>
              </w:tc>
              <w:tc>
                <w:tcPr>
                  <w:tcW w:w="5794" w:type="dxa"/>
                  <w:vAlign w:val="center"/>
                </w:tcPr>
                <w:p>
                  <w:pPr>
                    <w:adjustRightInd w:val="0"/>
                    <w:jc w:val="left"/>
                    <w:rPr>
                      <w:rFonts w:hAnsi="宋体"/>
                      <w:bCs/>
                      <w:color w:val="auto"/>
                      <w:kern w:val="0"/>
                      <w:szCs w:val="21"/>
                      <w:highlight w:val="none"/>
                      <w:lang w:val="zh-CN"/>
                    </w:rPr>
                  </w:pPr>
                  <w:r>
                    <w:rPr>
                      <w:rFonts w:hint="eastAsia" w:hAnsi="宋体"/>
                      <w:bCs/>
                      <w:color w:val="auto"/>
                      <w:kern w:val="0"/>
                      <w:szCs w:val="21"/>
                      <w:highlight w:val="none"/>
                      <w:lang w:val="zh-CN"/>
                    </w:rPr>
                    <w:t>（1）加强管理，分类收集各类固体废弃物；</w:t>
                  </w:r>
                </w:p>
                <w:p>
                  <w:pPr>
                    <w:widowControl/>
                    <w:rPr>
                      <w:rFonts w:hAnsi="宋体"/>
                      <w:bCs/>
                      <w:color w:val="auto"/>
                      <w:kern w:val="0"/>
                      <w:szCs w:val="21"/>
                      <w:highlight w:val="none"/>
                    </w:rPr>
                  </w:pPr>
                  <w:r>
                    <w:rPr>
                      <w:rFonts w:hint="eastAsia" w:hAnsi="宋体"/>
                      <w:bCs/>
                      <w:color w:val="auto"/>
                      <w:kern w:val="0"/>
                      <w:szCs w:val="21"/>
                      <w:highlight w:val="none"/>
                      <w:lang w:val="zh-CN"/>
                    </w:rPr>
                    <w:t>（2）危险废物</w:t>
                  </w:r>
                  <w:r>
                    <w:rPr>
                      <w:rFonts w:hint="eastAsia"/>
                      <w:color w:val="auto"/>
                      <w:szCs w:val="21"/>
                      <w:highlight w:val="none"/>
                    </w:rPr>
                    <w:t>分类收集，用专用容器盛放暂存于废品库中的危险固废区</w:t>
                  </w:r>
                  <w:r>
                    <w:rPr>
                      <w:rFonts w:hint="eastAsia"/>
                      <w:bCs/>
                      <w:color w:val="auto"/>
                      <w:kern w:val="0"/>
                      <w:szCs w:val="21"/>
                      <w:highlight w:val="none"/>
                      <w:lang w:val="zh-CN"/>
                    </w:rPr>
                    <w:t>（建筑面积1200m</w:t>
                  </w:r>
                  <w:r>
                    <w:rPr>
                      <w:rFonts w:hint="eastAsia"/>
                      <w:bCs/>
                      <w:color w:val="auto"/>
                      <w:kern w:val="0"/>
                      <w:szCs w:val="21"/>
                      <w:highlight w:val="none"/>
                      <w:vertAlign w:val="superscript"/>
                      <w:lang w:val="zh-CN"/>
                    </w:rPr>
                    <w:t>2</w:t>
                  </w:r>
                  <w:r>
                    <w:rPr>
                      <w:rFonts w:hint="eastAsia"/>
                      <w:bCs/>
                      <w:color w:val="auto"/>
                      <w:kern w:val="0"/>
                      <w:szCs w:val="21"/>
                      <w:highlight w:val="none"/>
                      <w:lang w:val="zh-CN"/>
                    </w:rPr>
                    <w:t>），暂存区按照</w:t>
                  </w:r>
                  <w:r>
                    <w:rPr>
                      <w:rFonts w:hint="eastAsia"/>
                      <w:color w:val="auto"/>
                      <w:szCs w:val="21"/>
                      <w:highlight w:val="none"/>
                    </w:rPr>
                    <w:t>《危险废物贮存污染控制标准》（GB18597-2001）修建。</w:t>
                  </w:r>
                  <w:r>
                    <w:rPr>
                      <w:rFonts w:hint="eastAsia"/>
                      <w:bCs/>
                      <w:color w:val="auto"/>
                      <w:kern w:val="0"/>
                      <w:szCs w:val="21"/>
                      <w:highlight w:val="none"/>
                      <w:lang w:val="zh-CN"/>
                    </w:rPr>
                    <w:t>委托有相应处理资质的单位定期运输、处置，并按照《危险废物转移联单管理办法》做好危险废物转移台账</w:t>
                  </w:r>
                </w:p>
              </w:tc>
              <w:tc>
                <w:tcPr>
                  <w:tcW w:w="1261"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公司</w:t>
                  </w:r>
                </w:p>
              </w:tc>
            </w:tr>
          </w:tbl>
          <w:p>
            <w:pPr>
              <w:spacing w:line="360" w:lineRule="auto"/>
              <w:ind w:firstLine="504" w:firstLineChars="200"/>
              <w:rPr>
                <w:color w:val="auto"/>
                <w:spacing w:val="6"/>
                <w:sz w:val="24"/>
                <w:highlight w:val="none"/>
              </w:rPr>
            </w:pPr>
            <w:r>
              <w:rPr>
                <w:color w:val="auto"/>
                <w:spacing w:val="6"/>
                <w:sz w:val="24"/>
                <w:highlight w:val="none"/>
              </w:rPr>
              <w:t>环境监测是环境保护的耳目，是环境管理必不可少的组成部分。该项目营运期间，须定期监测各类污染物排放情况，以确保各类污染物达标，并掌握厂区周围环境质量水平和污染变化趋势。本评价提出环境监测计划如表</w:t>
            </w:r>
            <w:r>
              <w:rPr>
                <w:rFonts w:hint="eastAsia"/>
                <w:color w:val="auto"/>
                <w:spacing w:val="6"/>
                <w:sz w:val="24"/>
                <w:highlight w:val="none"/>
              </w:rPr>
              <w:t>7-14</w:t>
            </w:r>
            <w:r>
              <w:rPr>
                <w:color w:val="auto"/>
                <w:spacing w:val="6"/>
                <w:sz w:val="24"/>
                <w:highlight w:val="none"/>
              </w:rPr>
              <w:t>。</w:t>
            </w:r>
          </w:p>
          <w:p>
            <w:pPr>
              <w:snapToGrid w:val="0"/>
              <w:spacing w:line="360" w:lineRule="auto"/>
              <w:jc w:val="center"/>
              <w:rPr>
                <w:b/>
                <w:color w:val="auto"/>
                <w:sz w:val="24"/>
                <w:highlight w:val="none"/>
              </w:rPr>
            </w:pPr>
            <w:r>
              <w:rPr>
                <w:b/>
                <w:color w:val="auto"/>
                <w:sz w:val="24"/>
                <w:highlight w:val="none"/>
              </w:rPr>
              <w:t>表</w:t>
            </w:r>
            <w:r>
              <w:rPr>
                <w:rFonts w:hint="eastAsia"/>
                <w:b/>
                <w:color w:val="auto"/>
                <w:sz w:val="24"/>
                <w:highlight w:val="none"/>
              </w:rPr>
              <w:t>7-14</w:t>
            </w:r>
            <w:r>
              <w:rPr>
                <w:b/>
                <w:color w:val="auto"/>
                <w:sz w:val="24"/>
                <w:highlight w:val="none"/>
              </w:rPr>
              <w:t xml:space="preserve">  公司环境监测计划</w:t>
            </w:r>
          </w:p>
          <w:tbl>
            <w:tblPr>
              <w:tblStyle w:val="29"/>
              <w:tblW w:w="9273"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9"/>
              <w:gridCol w:w="2110"/>
              <w:gridCol w:w="2572"/>
              <w:gridCol w:w="1651"/>
              <w:gridCol w:w="17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169" w:type="dxa"/>
                  <w:tcBorders>
                    <w:top w:val="single" w:color="auto" w:sz="12" w:space="0"/>
                    <w:left w:val="single" w:color="auto" w:sz="12" w:space="0"/>
                  </w:tcBorders>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监测类别</w:t>
                  </w:r>
                </w:p>
              </w:tc>
              <w:tc>
                <w:tcPr>
                  <w:tcW w:w="2110" w:type="dxa"/>
                  <w:tcBorders>
                    <w:top w:val="single" w:color="auto" w:sz="12" w:space="0"/>
                  </w:tcBorders>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监测位置</w:t>
                  </w:r>
                </w:p>
              </w:tc>
              <w:tc>
                <w:tcPr>
                  <w:tcW w:w="2572" w:type="dxa"/>
                  <w:tcBorders>
                    <w:top w:val="single" w:color="auto" w:sz="12" w:space="0"/>
                  </w:tcBorders>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监测项目</w:t>
                  </w:r>
                </w:p>
              </w:tc>
              <w:tc>
                <w:tcPr>
                  <w:tcW w:w="1651" w:type="dxa"/>
                  <w:tcBorders>
                    <w:top w:val="single" w:color="auto" w:sz="12" w:space="0"/>
                  </w:tcBorders>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监测频率</w:t>
                  </w:r>
                </w:p>
              </w:tc>
              <w:tc>
                <w:tcPr>
                  <w:tcW w:w="1771" w:type="dxa"/>
                  <w:tcBorders>
                    <w:top w:val="single" w:color="auto" w:sz="12" w:space="0"/>
                    <w:left w:val="single" w:color="auto" w:sz="4" w:space="0"/>
                    <w:right w:val="single" w:color="auto" w:sz="12" w:space="0"/>
                  </w:tcBorders>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169" w:type="dxa"/>
                  <w:tcBorders>
                    <w:left w:val="single" w:color="auto" w:sz="12" w:space="0"/>
                  </w:tcBorders>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噪声</w:t>
                  </w:r>
                </w:p>
              </w:tc>
              <w:tc>
                <w:tcPr>
                  <w:tcW w:w="2110"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与现状监测布点相同</w:t>
                  </w:r>
                </w:p>
              </w:tc>
              <w:tc>
                <w:tcPr>
                  <w:tcW w:w="2572" w:type="dxa"/>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等效声级</w:t>
                  </w:r>
                </w:p>
              </w:tc>
              <w:tc>
                <w:tcPr>
                  <w:tcW w:w="1651"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每年</w:t>
                  </w:r>
                  <w:r>
                    <w:rPr>
                      <w:rFonts w:hAnsi="宋体"/>
                      <w:bCs/>
                      <w:color w:val="auto"/>
                      <w:kern w:val="0"/>
                      <w:szCs w:val="21"/>
                      <w:highlight w:val="none"/>
                      <w:lang w:val="zh-CN"/>
                    </w:rPr>
                    <w:t>一次</w:t>
                  </w:r>
                </w:p>
              </w:tc>
              <w:tc>
                <w:tcPr>
                  <w:tcW w:w="1771" w:type="dxa"/>
                  <w:tcBorders>
                    <w:left w:val="single" w:color="auto" w:sz="4" w:space="0"/>
                    <w:right w:val="single" w:color="auto" w:sz="12" w:space="0"/>
                  </w:tcBorders>
                  <w:vAlign w:val="center"/>
                </w:tcPr>
                <w:p>
                  <w:pPr>
                    <w:adjustRightInd w:val="0"/>
                    <w:jc w:val="center"/>
                    <w:rPr>
                      <w:rFonts w:hAnsi="宋体"/>
                      <w:bCs/>
                      <w:color w:val="auto"/>
                      <w:kern w:val="0"/>
                      <w:szCs w:val="21"/>
                      <w:highlight w:val="none"/>
                      <w:lang w:val="zh-CN"/>
                    </w:rPr>
                  </w:pPr>
                  <w:r>
                    <w:rPr>
                      <w:rFonts w:hAnsi="宋体"/>
                      <w:bCs/>
                      <w:color w:val="auto"/>
                      <w:kern w:val="0"/>
                      <w:szCs w:val="21"/>
                      <w:highlight w:val="none"/>
                      <w:lang w:val="zh-CN"/>
                    </w:rPr>
                    <w:t>测厂界</w:t>
                  </w:r>
                  <w:r>
                    <w:rPr>
                      <w:rFonts w:hint="eastAsia" w:hAnsi="宋体"/>
                      <w:bCs/>
                      <w:color w:val="auto"/>
                      <w:kern w:val="0"/>
                      <w:szCs w:val="21"/>
                      <w:highlight w:val="none"/>
                      <w:lang w:val="zh-CN"/>
                    </w:rPr>
                    <w:t>四周</w:t>
                  </w:r>
                  <w:r>
                    <w:rPr>
                      <w:rFonts w:hAnsi="宋体"/>
                      <w:bCs/>
                      <w:color w:val="auto"/>
                      <w:kern w:val="0"/>
                      <w:szCs w:val="21"/>
                      <w:highlight w:val="none"/>
                      <w:lang w:val="zh-CN"/>
                    </w:rPr>
                    <w:t>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169" w:type="dxa"/>
                  <w:tcBorders>
                    <w:left w:val="single" w:color="auto" w:sz="12" w:space="0"/>
                  </w:tcBorders>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废气</w:t>
                  </w:r>
                </w:p>
              </w:tc>
              <w:tc>
                <w:tcPr>
                  <w:tcW w:w="2110" w:type="dxa"/>
                  <w:vAlign w:val="center"/>
                </w:tcPr>
                <w:p>
                  <w:pPr>
                    <w:adjustRightInd w:val="0"/>
                    <w:jc w:val="center"/>
                    <w:rPr>
                      <w:rFonts w:hint="eastAsia" w:hAnsi="宋体"/>
                      <w:bCs/>
                      <w:color w:val="auto"/>
                      <w:kern w:val="0"/>
                      <w:szCs w:val="21"/>
                      <w:highlight w:val="none"/>
                      <w:lang w:val="zh-CN"/>
                    </w:rPr>
                  </w:pPr>
                  <w:r>
                    <w:rPr>
                      <w:rFonts w:hint="eastAsia" w:hAnsi="宋体"/>
                      <w:bCs/>
                      <w:color w:val="auto"/>
                      <w:kern w:val="0"/>
                      <w:szCs w:val="21"/>
                      <w:highlight w:val="none"/>
                      <w:lang w:val="zh-CN"/>
                    </w:rPr>
                    <w:t>热处理废气排气筒、清洗废气排气筒、无组织排放废气厂界监控点</w:t>
                  </w:r>
                </w:p>
              </w:tc>
              <w:tc>
                <w:tcPr>
                  <w:tcW w:w="2572"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非甲烷总烃、氮氧化物、挥发性有机化合物</w:t>
                  </w:r>
                </w:p>
              </w:tc>
              <w:tc>
                <w:tcPr>
                  <w:tcW w:w="1651" w:type="dxa"/>
                  <w:vAlign w:val="center"/>
                </w:tcPr>
                <w:p>
                  <w:pPr>
                    <w:adjustRightInd w:val="0"/>
                    <w:jc w:val="center"/>
                    <w:rPr>
                      <w:rFonts w:hint="eastAsia" w:hAnsi="宋体"/>
                      <w:bCs/>
                      <w:color w:val="auto"/>
                      <w:kern w:val="0"/>
                      <w:szCs w:val="21"/>
                      <w:highlight w:val="none"/>
                      <w:lang w:val="zh-CN"/>
                    </w:rPr>
                  </w:pPr>
                  <w:r>
                    <w:rPr>
                      <w:rFonts w:hint="eastAsia" w:hAnsi="宋体"/>
                      <w:bCs/>
                      <w:color w:val="auto"/>
                      <w:kern w:val="0"/>
                      <w:szCs w:val="21"/>
                      <w:highlight w:val="none"/>
                      <w:lang w:val="zh-CN"/>
                    </w:rPr>
                    <w:t>每年</w:t>
                  </w:r>
                  <w:r>
                    <w:rPr>
                      <w:rFonts w:hAnsi="宋体"/>
                      <w:bCs/>
                      <w:color w:val="auto"/>
                      <w:kern w:val="0"/>
                      <w:szCs w:val="21"/>
                      <w:highlight w:val="none"/>
                      <w:lang w:val="zh-CN"/>
                    </w:rPr>
                    <w:t>一次</w:t>
                  </w:r>
                </w:p>
              </w:tc>
              <w:tc>
                <w:tcPr>
                  <w:tcW w:w="1771" w:type="dxa"/>
                  <w:tcBorders>
                    <w:left w:val="single" w:color="auto" w:sz="4" w:space="0"/>
                    <w:right w:val="single" w:color="auto" w:sz="12" w:space="0"/>
                  </w:tcBorders>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97" w:hRule="atLeast"/>
              </w:trPr>
              <w:tc>
                <w:tcPr>
                  <w:tcW w:w="1169" w:type="dxa"/>
                  <w:tcBorders>
                    <w:left w:val="single" w:color="auto" w:sz="12" w:space="0"/>
                  </w:tcBorders>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废水</w:t>
                  </w:r>
                </w:p>
              </w:tc>
              <w:tc>
                <w:tcPr>
                  <w:tcW w:w="2110"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项目污水总排口</w:t>
                  </w:r>
                </w:p>
              </w:tc>
              <w:tc>
                <w:tcPr>
                  <w:tcW w:w="2572"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COD、BOD</w:t>
                  </w:r>
                  <w:r>
                    <w:rPr>
                      <w:rFonts w:hint="eastAsia" w:hAnsi="宋体"/>
                      <w:bCs/>
                      <w:color w:val="auto"/>
                      <w:kern w:val="0"/>
                      <w:szCs w:val="21"/>
                      <w:highlight w:val="none"/>
                      <w:vertAlign w:val="subscript"/>
                      <w:lang w:val="zh-CN"/>
                    </w:rPr>
                    <w:t>5</w:t>
                  </w:r>
                  <w:r>
                    <w:rPr>
                      <w:rFonts w:hint="eastAsia" w:hAnsi="宋体"/>
                      <w:bCs/>
                      <w:color w:val="auto"/>
                      <w:kern w:val="0"/>
                      <w:szCs w:val="21"/>
                      <w:highlight w:val="none"/>
                      <w:lang w:val="zh-CN"/>
                    </w:rPr>
                    <w:t>、SS、氨氮、动植物油、石油类</w:t>
                  </w:r>
                </w:p>
              </w:tc>
              <w:tc>
                <w:tcPr>
                  <w:tcW w:w="1651" w:type="dxa"/>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每年</w:t>
                  </w:r>
                  <w:r>
                    <w:rPr>
                      <w:rFonts w:hAnsi="宋体"/>
                      <w:bCs/>
                      <w:color w:val="auto"/>
                      <w:kern w:val="0"/>
                      <w:szCs w:val="21"/>
                      <w:highlight w:val="none"/>
                      <w:lang w:val="zh-CN"/>
                    </w:rPr>
                    <w:t>一次</w:t>
                  </w:r>
                </w:p>
              </w:tc>
              <w:tc>
                <w:tcPr>
                  <w:tcW w:w="1771" w:type="dxa"/>
                  <w:tcBorders>
                    <w:left w:val="single" w:color="auto" w:sz="4" w:space="0"/>
                    <w:right w:val="single" w:color="auto" w:sz="12" w:space="0"/>
                  </w:tcBorders>
                  <w:vAlign w:val="center"/>
                </w:tcPr>
                <w:p>
                  <w:pPr>
                    <w:adjustRightInd w:val="0"/>
                    <w:jc w:val="center"/>
                    <w:rPr>
                      <w:rFonts w:hAnsi="宋体"/>
                      <w:bCs/>
                      <w:color w:val="auto"/>
                      <w:kern w:val="0"/>
                      <w:szCs w:val="21"/>
                      <w:highlight w:val="none"/>
                      <w:lang w:val="zh-CN"/>
                    </w:rPr>
                  </w:pPr>
                  <w:r>
                    <w:rPr>
                      <w:rFonts w:hint="eastAsia" w:hAnsi="宋体"/>
                      <w:bCs/>
                      <w:color w:val="auto"/>
                      <w:kern w:val="0"/>
                      <w:szCs w:val="21"/>
                      <w:highlight w:val="none"/>
                      <w:lang w:val="zh-CN"/>
                    </w:rPr>
                    <w:t>/</w:t>
                  </w:r>
                </w:p>
              </w:tc>
            </w:tr>
          </w:tbl>
          <w:p>
            <w:pPr>
              <w:spacing w:line="360" w:lineRule="auto"/>
              <w:ind w:firstLine="444" w:firstLineChars="200"/>
              <w:rPr>
                <w:color w:val="auto"/>
                <w:spacing w:val="6"/>
                <w:highlight w:val="none"/>
              </w:rPr>
            </w:pPr>
          </w:p>
        </w:tc>
      </w:tr>
    </w:tbl>
    <w:p>
      <w:pPr>
        <w:adjustRightInd w:val="0"/>
        <w:jc w:val="center"/>
        <w:rPr>
          <w:b/>
          <w:spacing w:val="6"/>
          <w:sz w:val="28"/>
        </w:rPr>
      </w:pPr>
    </w:p>
    <w:p>
      <w:pPr>
        <w:spacing w:line="460" w:lineRule="exact"/>
        <w:outlineLvl w:val="0"/>
        <w:rPr>
          <w:rFonts w:hint="eastAsia"/>
          <w:b/>
          <w:spacing w:val="6"/>
          <w:sz w:val="28"/>
        </w:rPr>
      </w:pPr>
      <w:r>
        <w:rPr>
          <w:rFonts w:hint="eastAsia"/>
          <w:b/>
          <w:spacing w:val="6"/>
          <w:sz w:val="28"/>
        </w:rPr>
        <w:t>八、</w:t>
      </w:r>
      <w:r>
        <w:rPr>
          <w:b/>
          <w:spacing w:val="6"/>
          <w:sz w:val="28"/>
        </w:rPr>
        <w:t>建设项目拟采取的防治措施及预期治理效果</w:t>
      </w:r>
    </w:p>
    <w:tbl>
      <w:tblPr>
        <w:tblStyle w:val="29"/>
        <w:tblW w:w="936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1400"/>
        <w:gridCol w:w="2158"/>
        <w:gridCol w:w="2342"/>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tcBorders>
              <w:tl2br w:val="single" w:color="auto" w:sz="4" w:space="0"/>
            </w:tcBorders>
          </w:tcPr>
          <w:p>
            <w:pPr>
              <w:spacing w:line="312" w:lineRule="auto"/>
              <w:rPr>
                <w:sz w:val="24"/>
              </w:rPr>
            </w:pPr>
            <w:r>
              <w:rPr>
                <w:sz w:val="24"/>
              </w:rPr>
              <w:t xml:space="preserve">  </w:t>
            </w:r>
            <w:r>
              <w:rPr>
                <w:rFonts w:hint="eastAsia"/>
                <w:sz w:val="24"/>
              </w:rPr>
              <w:t xml:space="preserve"> </w:t>
            </w:r>
            <w:r>
              <w:rPr>
                <w:sz w:val="24"/>
              </w:rPr>
              <w:t>内容</w:t>
            </w:r>
          </w:p>
          <w:p>
            <w:pPr>
              <w:spacing w:line="312" w:lineRule="auto"/>
              <w:rPr>
                <w:sz w:val="24"/>
              </w:rPr>
            </w:pPr>
            <w:r>
              <w:rPr>
                <w:sz w:val="24"/>
              </w:rPr>
              <w:t>类型</w:t>
            </w:r>
          </w:p>
        </w:tc>
        <w:tc>
          <w:tcPr>
            <w:tcW w:w="1400" w:type="dxa"/>
            <w:vAlign w:val="center"/>
          </w:tcPr>
          <w:p>
            <w:pPr>
              <w:spacing w:line="312" w:lineRule="auto"/>
              <w:jc w:val="center"/>
              <w:rPr>
                <w:sz w:val="24"/>
              </w:rPr>
            </w:pPr>
            <w:r>
              <w:rPr>
                <w:sz w:val="24"/>
              </w:rPr>
              <w:t>排放源</w:t>
            </w:r>
          </w:p>
          <w:p>
            <w:pPr>
              <w:spacing w:line="312" w:lineRule="auto"/>
              <w:jc w:val="center"/>
              <w:rPr>
                <w:sz w:val="24"/>
              </w:rPr>
            </w:pPr>
            <w:r>
              <w:rPr>
                <w:sz w:val="24"/>
              </w:rPr>
              <w:t>（编号）</w:t>
            </w:r>
          </w:p>
        </w:tc>
        <w:tc>
          <w:tcPr>
            <w:tcW w:w="2158" w:type="dxa"/>
            <w:vAlign w:val="center"/>
          </w:tcPr>
          <w:p>
            <w:pPr>
              <w:spacing w:line="312" w:lineRule="auto"/>
              <w:jc w:val="center"/>
              <w:rPr>
                <w:sz w:val="24"/>
              </w:rPr>
            </w:pPr>
            <w:r>
              <w:rPr>
                <w:sz w:val="24"/>
              </w:rPr>
              <w:t>污染物</w:t>
            </w:r>
          </w:p>
          <w:p>
            <w:pPr>
              <w:spacing w:line="312" w:lineRule="auto"/>
              <w:jc w:val="center"/>
              <w:rPr>
                <w:sz w:val="24"/>
              </w:rPr>
            </w:pPr>
            <w:r>
              <w:rPr>
                <w:sz w:val="24"/>
              </w:rPr>
              <w:t>名  称</w:t>
            </w:r>
          </w:p>
        </w:tc>
        <w:tc>
          <w:tcPr>
            <w:tcW w:w="2342" w:type="dxa"/>
            <w:vAlign w:val="center"/>
          </w:tcPr>
          <w:p>
            <w:pPr>
              <w:spacing w:line="288" w:lineRule="auto"/>
              <w:jc w:val="center"/>
              <w:rPr>
                <w:sz w:val="24"/>
              </w:rPr>
            </w:pPr>
            <w:r>
              <w:rPr>
                <w:sz w:val="24"/>
              </w:rPr>
              <w:t>防治措施</w:t>
            </w:r>
          </w:p>
        </w:tc>
        <w:tc>
          <w:tcPr>
            <w:tcW w:w="2340" w:type="dxa"/>
            <w:vAlign w:val="center"/>
          </w:tcPr>
          <w:p>
            <w:pPr>
              <w:spacing w:line="288" w:lineRule="auto"/>
              <w:jc w:val="center"/>
              <w:rPr>
                <w:sz w:val="24"/>
              </w:rPr>
            </w:pPr>
            <w:r>
              <w:rPr>
                <w:sz w:val="24"/>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restart"/>
            <w:vAlign w:val="center"/>
          </w:tcPr>
          <w:p>
            <w:pPr>
              <w:spacing w:line="312" w:lineRule="auto"/>
              <w:jc w:val="center"/>
              <w:rPr>
                <w:spacing w:val="6"/>
                <w:sz w:val="24"/>
              </w:rPr>
            </w:pPr>
            <w:r>
              <w:rPr>
                <w:spacing w:val="6"/>
                <w:sz w:val="24"/>
              </w:rPr>
              <w:t>大气</w:t>
            </w:r>
          </w:p>
          <w:p>
            <w:pPr>
              <w:spacing w:line="312" w:lineRule="auto"/>
              <w:jc w:val="center"/>
              <w:rPr>
                <w:spacing w:val="6"/>
                <w:sz w:val="24"/>
              </w:rPr>
            </w:pPr>
            <w:r>
              <w:rPr>
                <w:spacing w:val="6"/>
                <w:sz w:val="24"/>
              </w:rPr>
              <w:t>污染物</w:t>
            </w:r>
          </w:p>
        </w:tc>
        <w:tc>
          <w:tcPr>
            <w:tcW w:w="1400" w:type="dxa"/>
            <w:vAlign w:val="center"/>
          </w:tcPr>
          <w:p>
            <w:pPr>
              <w:spacing w:line="312" w:lineRule="auto"/>
              <w:jc w:val="center"/>
              <w:rPr>
                <w:spacing w:val="6"/>
                <w:sz w:val="24"/>
              </w:rPr>
            </w:pPr>
            <w:r>
              <w:rPr>
                <w:rFonts w:hint="eastAsia"/>
                <w:spacing w:val="6"/>
                <w:sz w:val="24"/>
              </w:rPr>
              <w:t>滚子摇臂、可变滚子摇臂、张紧器热处理废气</w:t>
            </w:r>
          </w:p>
        </w:tc>
        <w:tc>
          <w:tcPr>
            <w:tcW w:w="2158" w:type="dxa"/>
            <w:vAlign w:val="center"/>
          </w:tcPr>
          <w:p>
            <w:pPr>
              <w:widowControl/>
              <w:spacing w:line="312" w:lineRule="auto"/>
              <w:jc w:val="center"/>
              <w:rPr>
                <w:kern w:val="0"/>
                <w:sz w:val="24"/>
              </w:rPr>
            </w:pPr>
            <w:r>
              <w:rPr>
                <w:rFonts w:hint="eastAsia"/>
                <w:kern w:val="0"/>
                <w:sz w:val="24"/>
              </w:rPr>
              <w:t>非甲烷总烃、氮氧化物</w:t>
            </w:r>
          </w:p>
        </w:tc>
        <w:tc>
          <w:tcPr>
            <w:tcW w:w="2342" w:type="dxa"/>
            <w:vAlign w:val="center"/>
          </w:tcPr>
          <w:p>
            <w:pPr>
              <w:widowControl/>
              <w:spacing w:line="312" w:lineRule="auto"/>
              <w:jc w:val="center"/>
              <w:rPr>
                <w:kern w:val="0"/>
                <w:sz w:val="24"/>
              </w:rPr>
            </w:pPr>
            <w:r>
              <w:rPr>
                <w:rFonts w:hint="eastAsia"/>
                <w:kern w:val="0"/>
                <w:sz w:val="24"/>
              </w:rPr>
              <w:t>热处理废气中的高温加热炉废气经燃烧处理、淬火废气经油雾净化器处理后通过15m排气筒排放（2#）</w:t>
            </w:r>
          </w:p>
        </w:tc>
        <w:tc>
          <w:tcPr>
            <w:tcW w:w="2340" w:type="dxa"/>
            <w:vAlign w:val="center"/>
          </w:tcPr>
          <w:p>
            <w:pPr>
              <w:widowControl/>
              <w:spacing w:line="312" w:lineRule="auto"/>
              <w:jc w:val="center"/>
              <w:rPr>
                <w:kern w:val="0"/>
                <w:sz w:val="24"/>
              </w:rPr>
            </w:pPr>
            <w:r>
              <w:rPr>
                <w:rFonts w:hint="eastAsia"/>
                <w:kern w:val="0"/>
                <w:sz w:val="24"/>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Align w:val="center"/>
          </w:tcPr>
          <w:p>
            <w:pPr>
              <w:spacing w:line="312" w:lineRule="auto"/>
              <w:jc w:val="center"/>
              <w:rPr>
                <w:spacing w:val="6"/>
                <w:sz w:val="24"/>
              </w:rPr>
            </w:pPr>
            <w:r>
              <w:rPr>
                <w:rFonts w:hint="eastAsia"/>
                <w:spacing w:val="6"/>
                <w:sz w:val="24"/>
              </w:rPr>
              <w:t>轮毂轴承热处理</w:t>
            </w:r>
          </w:p>
        </w:tc>
        <w:tc>
          <w:tcPr>
            <w:tcW w:w="2158" w:type="dxa"/>
            <w:vAlign w:val="center"/>
          </w:tcPr>
          <w:p>
            <w:pPr>
              <w:widowControl/>
              <w:spacing w:line="312" w:lineRule="auto"/>
              <w:jc w:val="center"/>
              <w:rPr>
                <w:kern w:val="0"/>
                <w:sz w:val="24"/>
              </w:rPr>
            </w:pPr>
            <w:r>
              <w:rPr>
                <w:rFonts w:hint="eastAsia"/>
                <w:kern w:val="0"/>
                <w:sz w:val="24"/>
              </w:rPr>
              <w:t>非甲烷总烃、氮氧化物</w:t>
            </w:r>
          </w:p>
        </w:tc>
        <w:tc>
          <w:tcPr>
            <w:tcW w:w="2342" w:type="dxa"/>
            <w:vAlign w:val="center"/>
          </w:tcPr>
          <w:p>
            <w:pPr>
              <w:widowControl/>
              <w:spacing w:line="312" w:lineRule="auto"/>
              <w:jc w:val="center"/>
              <w:rPr>
                <w:kern w:val="0"/>
                <w:sz w:val="24"/>
              </w:rPr>
            </w:pPr>
            <w:r>
              <w:rPr>
                <w:rFonts w:hint="eastAsia"/>
                <w:kern w:val="0"/>
                <w:sz w:val="24"/>
              </w:rPr>
              <w:t>热处理废气中的高温加热炉废气经燃烧处理、淬火废气经油雾净化器处理后通过15m排气筒排放（3#）</w:t>
            </w:r>
          </w:p>
        </w:tc>
        <w:tc>
          <w:tcPr>
            <w:tcW w:w="2340" w:type="dxa"/>
            <w:vAlign w:val="center"/>
          </w:tcPr>
          <w:p>
            <w:pPr>
              <w:widowControl/>
              <w:spacing w:line="312" w:lineRule="auto"/>
              <w:jc w:val="center"/>
              <w:rPr>
                <w:kern w:val="0"/>
                <w:sz w:val="24"/>
              </w:rPr>
            </w:pPr>
            <w:r>
              <w:rPr>
                <w:rFonts w:hint="eastAsia"/>
                <w:kern w:val="0"/>
                <w:sz w:val="24"/>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Align w:val="center"/>
          </w:tcPr>
          <w:p>
            <w:pPr>
              <w:spacing w:line="312" w:lineRule="auto"/>
              <w:jc w:val="center"/>
              <w:rPr>
                <w:spacing w:val="6"/>
                <w:sz w:val="24"/>
              </w:rPr>
            </w:pPr>
            <w:r>
              <w:rPr>
                <w:rFonts w:hint="eastAsia"/>
                <w:spacing w:val="6"/>
                <w:sz w:val="24"/>
              </w:rPr>
              <w:t>清洗废气</w:t>
            </w:r>
          </w:p>
        </w:tc>
        <w:tc>
          <w:tcPr>
            <w:tcW w:w="2158" w:type="dxa"/>
            <w:vAlign w:val="center"/>
          </w:tcPr>
          <w:p>
            <w:pPr>
              <w:widowControl/>
              <w:spacing w:line="312" w:lineRule="auto"/>
              <w:jc w:val="center"/>
              <w:rPr>
                <w:kern w:val="0"/>
                <w:sz w:val="24"/>
              </w:rPr>
            </w:pPr>
            <w:r>
              <w:rPr>
                <w:rFonts w:hint="eastAsia"/>
                <w:kern w:val="0"/>
                <w:sz w:val="24"/>
              </w:rPr>
              <w:t>挥发性有机化合物</w:t>
            </w:r>
          </w:p>
        </w:tc>
        <w:tc>
          <w:tcPr>
            <w:tcW w:w="2342" w:type="dxa"/>
            <w:vAlign w:val="center"/>
          </w:tcPr>
          <w:p>
            <w:pPr>
              <w:widowControl/>
              <w:spacing w:line="312" w:lineRule="auto"/>
              <w:jc w:val="center"/>
              <w:rPr>
                <w:kern w:val="0"/>
                <w:sz w:val="24"/>
              </w:rPr>
            </w:pPr>
            <w:r>
              <w:rPr>
                <w:rFonts w:hint="eastAsia"/>
                <w:kern w:val="0"/>
                <w:sz w:val="24"/>
              </w:rPr>
              <w:t>收集后经15m排气筒排放（1#）</w:t>
            </w:r>
          </w:p>
        </w:tc>
        <w:tc>
          <w:tcPr>
            <w:tcW w:w="2340" w:type="dxa"/>
            <w:vAlign w:val="center"/>
          </w:tcPr>
          <w:p>
            <w:pPr>
              <w:widowControl/>
              <w:spacing w:line="312" w:lineRule="auto"/>
              <w:jc w:val="center"/>
              <w:rPr>
                <w:kern w:val="0"/>
                <w:sz w:val="24"/>
              </w:rPr>
            </w:pPr>
            <w:r>
              <w:rPr>
                <w:rFonts w:hint="eastAsia"/>
                <w:kern w:val="0"/>
                <w:sz w:val="24"/>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Align w:val="center"/>
          </w:tcPr>
          <w:p>
            <w:pPr>
              <w:spacing w:line="312" w:lineRule="auto"/>
              <w:jc w:val="center"/>
              <w:rPr>
                <w:spacing w:val="6"/>
                <w:sz w:val="24"/>
              </w:rPr>
            </w:pPr>
            <w:r>
              <w:rPr>
                <w:rFonts w:hint="eastAsia"/>
                <w:spacing w:val="6"/>
                <w:sz w:val="24"/>
              </w:rPr>
              <w:t>注塑废气</w:t>
            </w:r>
          </w:p>
        </w:tc>
        <w:tc>
          <w:tcPr>
            <w:tcW w:w="2158" w:type="dxa"/>
            <w:vAlign w:val="center"/>
          </w:tcPr>
          <w:p>
            <w:pPr>
              <w:widowControl/>
              <w:spacing w:line="312" w:lineRule="auto"/>
              <w:jc w:val="center"/>
              <w:rPr>
                <w:kern w:val="0"/>
                <w:sz w:val="24"/>
              </w:rPr>
            </w:pPr>
            <w:r>
              <w:rPr>
                <w:rFonts w:hint="eastAsia"/>
                <w:kern w:val="0"/>
                <w:sz w:val="24"/>
              </w:rPr>
              <w:t>挥发性有机化合物</w:t>
            </w:r>
          </w:p>
        </w:tc>
        <w:tc>
          <w:tcPr>
            <w:tcW w:w="2342" w:type="dxa"/>
            <w:vAlign w:val="center"/>
          </w:tcPr>
          <w:p>
            <w:pPr>
              <w:widowControl/>
              <w:spacing w:line="312" w:lineRule="auto"/>
              <w:jc w:val="center"/>
              <w:rPr>
                <w:kern w:val="0"/>
                <w:sz w:val="24"/>
              </w:rPr>
            </w:pPr>
            <w:r>
              <w:rPr>
                <w:rFonts w:hint="eastAsia"/>
                <w:kern w:val="0"/>
                <w:sz w:val="24"/>
              </w:rPr>
              <w:t>无组织排放</w:t>
            </w:r>
          </w:p>
        </w:tc>
        <w:tc>
          <w:tcPr>
            <w:tcW w:w="2340" w:type="dxa"/>
            <w:vAlign w:val="center"/>
          </w:tcPr>
          <w:p>
            <w:pPr>
              <w:widowControl/>
              <w:spacing w:line="312" w:lineRule="auto"/>
              <w:jc w:val="center"/>
              <w:rPr>
                <w:kern w:val="0"/>
                <w:sz w:val="24"/>
              </w:rPr>
            </w:pPr>
            <w:r>
              <w:rPr>
                <w:rFonts w:hint="eastAsia"/>
                <w:kern w:val="0"/>
                <w:sz w:val="24"/>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Align w:val="center"/>
          </w:tcPr>
          <w:p>
            <w:pPr>
              <w:spacing w:line="312" w:lineRule="auto"/>
              <w:jc w:val="center"/>
              <w:rPr>
                <w:spacing w:val="6"/>
                <w:sz w:val="24"/>
              </w:rPr>
            </w:pPr>
            <w:r>
              <w:rPr>
                <w:rFonts w:hint="eastAsia"/>
                <w:spacing w:val="6"/>
                <w:sz w:val="24"/>
              </w:rPr>
              <w:t>油烟废气</w:t>
            </w:r>
          </w:p>
        </w:tc>
        <w:tc>
          <w:tcPr>
            <w:tcW w:w="2158" w:type="dxa"/>
            <w:vAlign w:val="center"/>
          </w:tcPr>
          <w:p>
            <w:pPr>
              <w:widowControl/>
              <w:spacing w:line="312" w:lineRule="auto"/>
              <w:jc w:val="center"/>
              <w:rPr>
                <w:rFonts w:hAnsi="宋体"/>
                <w:kern w:val="0"/>
                <w:sz w:val="24"/>
              </w:rPr>
            </w:pPr>
            <w:r>
              <w:rPr>
                <w:rFonts w:hint="eastAsia" w:hAnsi="宋体"/>
                <w:kern w:val="0"/>
                <w:sz w:val="24"/>
              </w:rPr>
              <w:t>油烟</w:t>
            </w:r>
          </w:p>
        </w:tc>
        <w:tc>
          <w:tcPr>
            <w:tcW w:w="2342" w:type="dxa"/>
            <w:vAlign w:val="center"/>
          </w:tcPr>
          <w:p>
            <w:pPr>
              <w:widowControl/>
              <w:spacing w:line="312" w:lineRule="auto"/>
              <w:jc w:val="center"/>
              <w:rPr>
                <w:kern w:val="0"/>
                <w:sz w:val="24"/>
              </w:rPr>
            </w:pPr>
            <w:r>
              <w:rPr>
                <w:rFonts w:hint="eastAsia"/>
                <w:kern w:val="0"/>
                <w:sz w:val="24"/>
              </w:rPr>
              <w:t>油烟净化器处理后引至楼顶排放</w:t>
            </w:r>
          </w:p>
        </w:tc>
        <w:tc>
          <w:tcPr>
            <w:tcW w:w="2340" w:type="dxa"/>
            <w:vAlign w:val="center"/>
          </w:tcPr>
          <w:p>
            <w:pPr>
              <w:widowControl/>
              <w:spacing w:line="312" w:lineRule="auto"/>
              <w:jc w:val="center"/>
              <w:rPr>
                <w:kern w:val="0"/>
                <w:sz w:val="24"/>
              </w:rPr>
            </w:pPr>
            <w:r>
              <w:rPr>
                <w:rFonts w:hint="eastAsia"/>
                <w:kern w:val="0"/>
                <w:sz w:val="24"/>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7" w:hRule="atLeast"/>
        </w:trPr>
        <w:tc>
          <w:tcPr>
            <w:tcW w:w="1120" w:type="dxa"/>
            <w:vAlign w:val="center"/>
          </w:tcPr>
          <w:p>
            <w:pPr>
              <w:spacing w:line="312" w:lineRule="auto"/>
              <w:jc w:val="center"/>
              <w:rPr>
                <w:spacing w:val="6"/>
                <w:sz w:val="24"/>
              </w:rPr>
            </w:pPr>
            <w:r>
              <w:rPr>
                <w:spacing w:val="6"/>
                <w:sz w:val="24"/>
              </w:rPr>
              <w:t>水</w:t>
            </w:r>
          </w:p>
          <w:p>
            <w:pPr>
              <w:spacing w:line="312" w:lineRule="auto"/>
              <w:jc w:val="center"/>
              <w:rPr>
                <w:spacing w:val="6"/>
                <w:sz w:val="24"/>
              </w:rPr>
            </w:pPr>
            <w:r>
              <w:rPr>
                <w:spacing w:val="6"/>
                <w:sz w:val="24"/>
              </w:rPr>
              <w:t>污</w:t>
            </w:r>
          </w:p>
          <w:p>
            <w:pPr>
              <w:spacing w:line="312" w:lineRule="auto"/>
              <w:jc w:val="center"/>
              <w:rPr>
                <w:spacing w:val="6"/>
                <w:sz w:val="24"/>
              </w:rPr>
            </w:pPr>
            <w:r>
              <w:rPr>
                <w:spacing w:val="6"/>
                <w:sz w:val="24"/>
              </w:rPr>
              <w:t>染</w:t>
            </w:r>
          </w:p>
          <w:p>
            <w:pPr>
              <w:spacing w:line="312" w:lineRule="auto"/>
              <w:jc w:val="center"/>
              <w:rPr>
                <w:spacing w:val="6"/>
                <w:sz w:val="24"/>
              </w:rPr>
            </w:pPr>
            <w:r>
              <w:rPr>
                <w:spacing w:val="6"/>
                <w:sz w:val="24"/>
              </w:rPr>
              <w:t>物</w:t>
            </w:r>
          </w:p>
        </w:tc>
        <w:tc>
          <w:tcPr>
            <w:tcW w:w="1400" w:type="dxa"/>
            <w:vAlign w:val="center"/>
          </w:tcPr>
          <w:p>
            <w:pPr>
              <w:spacing w:line="312" w:lineRule="auto"/>
              <w:jc w:val="center"/>
              <w:rPr>
                <w:spacing w:val="6"/>
                <w:sz w:val="24"/>
              </w:rPr>
            </w:pPr>
            <w:r>
              <w:rPr>
                <w:rFonts w:hint="eastAsia"/>
                <w:spacing w:val="6"/>
                <w:sz w:val="24"/>
              </w:rPr>
              <w:t>生产、</w:t>
            </w:r>
            <w:r>
              <w:rPr>
                <w:spacing w:val="6"/>
                <w:sz w:val="24"/>
              </w:rPr>
              <w:t>生活污水</w:t>
            </w:r>
          </w:p>
        </w:tc>
        <w:tc>
          <w:tcPr>
            <w:tcW w:w="2158" w:type="dxa"/>
            <w:vAlign w:val="center"/>
          </w:tcPr>
          <w:p>
            <w:pPr>
              <w:spacing w:line="312" w:lineRule="auto"/>
              <w:jc w:val="center"/>
              <w:rPr>
                <w:sz w:val="24"/>
              </w:rPr>
            </w:pPr>
            <w:r>
              <w:rPr>
                <w:sz w:val="24"/>
              </w:rPr>
              <w:t>COD</w:t>
            </w:r>
            <w:r>
              <w:rPr>
                <w:rFonts w:hint="eastAsia"/>
                <w:sz w:val="24"/>
              </w:rPr>
              <w:t>、</w:t>
            </w:r>
            <w:r>
              <w:rPr>
                <w:sz w:val="24"/>
              </w:rPr>
              <w:t>BOD</w:t>
            </w:r>
            <w:r>
              <w:rPr>
                <w:sz w:val="24"/>
                <w:vertAlign w:val="subscript"/>
              </w:rPr>
              <w:t>5</w:t>
            </w:r>
            <w:r>
              <w:rPr>
                <w:rFonts w:hint="eastAsia"/>
                <w:sz w:val="24"/>
              </w:rPr>
              <w:t>、</w:t>
            </w:r>
            <w:r>
              <w:rPr>
                <w:sz w:val="24"/>
              </w:rPr>
              <w:t>SS</w:t>
            </w:r>
            <w:r>
              <w:rPr>
                <w:rFonts w:hint="eastAsia"/>
                <w:sz w:val="24"/>
              </w:rPr>
              <w:t>、氨氮、动植物油、石油类</w:t>
            </w:r>
          </w:p>
        </w:tc>
        <w:tc>
          <w:tcPr>
            <w:tcW w:w="2342" w:type="dxa"/>
            <w:vAlign w:val="center"/>
          </w:tcPr>
          <w:p>
            <w:pPr>
              <w:spacing w:line="312" w:lineRule="auto"/>
              <w:jc w:val="center"/>
              <w:rPr>
                <w:sz w:val="24"/>
              </w:rPr>
            </w:pPr>
            <w:r>
              <w:rPr>
                <w:sz w:val="24"/>
              </w:rPr>
              <w:t>隔油池、化粪池预处理后排入</w:t>
            </w:r>
            <w:r>
              <w:rPr>
                <w:rFonts w:hint="eastAsia"/>
                <w:sz w:val="24"/>
              </w:rPr>
              <w:t>湘潭市九华</w:t>
            </w:r>
            <w:r>
              <w:rPr>
                <w:sz w:val="24"/>
              </w:rPr>
              <w:t>污水处理厂处理</w:t>
            </w:r>
          </w:p>
        </w:tc>
        <w:tc>
          <w:tcPr>
            <w:tcW w:w="2340" w:type="dxa"/>
            <w:vAlign w:val="center"/>
          </w:tcPr>
          <w:p>
            <w:pPr>
              <w:spacing w:line="312" w:lineRule="auto"/>
              <w:jc w:val="center"/>
              <w:rPr>
                <w:sz w:val="24"/>
              </w:rPr>
            </w:pPr>
            <w:r>
              <w:rPr>
                <w:sz w:val="24"/>
              </w:rPr>
              <w:t>《污水综合排放标准》（GB8978-96）表4中三级排放标准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restart"/>
            <w:vAlign w:val="center"/>
          </w:tcPr>
          <w:p>
            <w:pPr>
              <w:spacing w:line="312" w:lineRule="auto"/>
              <w:jc w:val="center"/>
              <w:rPr>
                <w:spacing w:val="6"/>
                <w:sz w:val="24"/>
              </w:rPr>
            </w:pPr>
            <w:r>
              <w:rPr>
                <w:spacing w:val="6"/>
                <w:sz w:val="24"/>
              </w:rPr>
              <w:t>固体</w:t>
            </w:r>
          </w:p>
          <w:p>
            <w:pPr>
              <w:spacing w:line="312" w:lineRule="auto"/>
              <w:jc w:val="center"/>
              <w:rPr>
                <w:spacing w:val="6"/>
                <w:sz w:val="24"/>
              </w:rPr>
            </w:pPr>
            <w:r>
              <w:rPr>
                <w:spacing w:val="6"/>
                <w:sz w:val="24"/>
              </w:rPr>
              <w:t>废物</w:t>
            </w:r>
          </w:p>
        </w:tc>
        <w:tc>
          <w:tcPr>
            <w:tcW w:w="1400" w:type="dxa"/>
            <w:vMerge w:val="restart"/>
            <w:vAlign w:val="center"/>
          </w:tcPr>
          <w:p>
            <w:pPr>
              <w:spacing w:line="312" w:lineRule="auto"/>
              <w:jc w:val="center"/>
              <w:rPr>
                <w:spacing w:val="6"/>
                <w:sz w:val="24"/>
              </w:rPr>
            </w:pPr>
            <w:r>
              <w:rPr>
                <w:rFonts w:hint="eastAsia"/>
                <w:spacing w:val="6"/>
                <w:sz w:val="24"/>
              </w:rPr>
              <w:t>生产区</w:t>
            </w:r>
          </w:p>
        </w:tc>
        <w:tc>
          <w:tcPr>
            <w:tcW w:w="2158" w:type="dxa"/>
            <w:vAlign w:val="center"/>
          </w:tcPr>
          <w:p>
            <w:pPr>
              <w:spacing w:line="312" w:lineRule="auto"/>
              <w:jc w:val="center"/>
              <w:rPr>
                <w:spacing w:val="6"/>
                <w:sz w:val="24"/>
              </w:rPr>
            </w:pPr>
            <w:r>
              <w:rPr>
                <w:rFonts w:hint="eastAsia"/>
                <w:spacing w:val="6"/>
                <w:sz w:val="24"/>
              </w:rPr>
              <w:t>电化学去毛刺产生的氢氧化铁废渣、清洗工序产生的轻质石油类或硝酸类清洗废液</w:t>
            </w:r>
          </w:p>
        </w:tc>
        <w:tc>
          <w:tcPr>
            <w:tcW w:w="2342" w:type="dxa"/>
            <w:vMerge w:val="restart"/>
            <w:vAlign w:val="center"/>
          </w:tcPr>
          <w:p>
            <w:pPr>
              <w:spacing w:line="312" w:lineRule="auto"/>
              <w:jc w:val="center"/>
              <w:rPr>
                <w:spacing w:val="6"/>
                <w:sz w:val="24"/>
              </w:rPr>
            </w:pPr>
            <w:r>
              <w:rPr>
                <w:rFonts w:hint="eastAsia" w:hAnsi="宋体"/>
                <w:spacing w:val="6"/>
                <w:sz w:val="24"/>
              </w:rPr>
              <w:t>交给有资质的单位处置</w:t>
            </w:r>
          </w:p>
        </w:tc>
        <w:tc>
          <w:tcPr>
            <w:tcW w:w="2340" w:type="dxa"/>
            <w:vMerge w:val="restart"/>
            <w:vAlign w:val="center"/>
          </w:tcPr>
          <w:p>
            <w:pPr>
              <w:spacing w:line="312" w:lineRule="auto"/>
              <w:jc w:val="center"/>
              <w:rPr>
                <w:spacing w:val="6"/>
                <w:sz w:val="24"/>
              </w:rPr>
            </w:pPr>
            <w:r>
              <w:rPr>
                <w:rFonts w:hint="eastAsia"/>
                <w:spacing w:val="6"/>
                <w:sz w:val="24"/>
              </w:rPr>
              <w:t>有效处置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rFonts w:hint="eastAsia"/>
                <w:sz w:val="24"/>
              </w:rPr>
              <w:t>废乳化液</w:t>
            </w:r>
          </w:p>
        </w:tc>
        <w:tc>
          <w:tcPr>
            <w:tcW w:w="2342" w:type="dxa"/>
            <w:vMerge w:val="continue"/>
            <w:vAlign w:val="center"/>
          </w:tcPr>
          <w:p>
            <w:pPr>
              <w:spacing w:line="312" w:lineRule="auto"/>
              <w:jc w:val="center"/>
              <w:rPr>
                <w:spacing w:val="6"/>
                <w:sz w:val="24"/>
              </w:rPr>
            </w:pPr>
          </w:p>
        </w:tc>
        <w:tc>
          <w:tcPr>
            <w:tcW w:w="2340" w:type="dxa"/>
            <w:vMerge w:val="continue"/>
            <w:vAlign w:val="center"/>
          </w:tcPr>
          <w:p>
            <w:pPr>
              <w:spacing w:line="312" w:lineRule="auto"/>
              <w:jc w:val="center"/>
              <w:rPr>
                <w:rFonts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rFonts w:hint="eastAsia"/>
                <w:spacing w:val="6"/>
                <w:sz w:val="24"/>
              </w:rPr>
              <w:t>机油、冲压油、磨削油等各类废油脂</w:t>
            </w:r>
          </w:p>
        </w:tc>
        <w:tc>
          <w:tcPr>
            <w:tcW w:w="2342" w:type="dxa"/>
            <w:vMerge w:val="continue"/>
            <w:vAlign w:val="center"/>
          </w:tcPr>
          <w:p>
            <w:pPr>
              <w:spacing w:line="312" w:lineRule="auto"/>
              <w:jc w:val="center"/>
              <w:rPr>
                <w:spacing w:val="6"/>
                <w:sz w:val="24"/>
              </w:rPr>
            </w:pPr>
          </w:p>
        </w:tc>
        <w:tc>
          <w:tcPr>
            <w:tcW w:w="2340" w:type="dxa"/>
            <w:vMerge w:val="continue"/>
            <w:vAlign w:val="center"/>
          </w:tcPr>
          <w:p>
            <w:pPr>
              <w:spacing w:line="312" w:lineRule="auto"/>
              <w:jc w:val="center"/>
              <w:rPr>
                <w:rFonts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pacing w:val="6"/>
                <w:sz w:val="24"/>
              </w:rPr>
            </w:pPr>
          </w:p>
        </w:tc>
        <w:tc>
          <w:tcPr>
            <w:tcW w:w="2158" w:type="dxa"/>
            <w:vAlign w:val="center"/>
          </w:tcPr>
          <w:p>
            <w:pPr>
              <w:spacing w:line="312" w:lineRule="auto"/>
              <w:jc w:val="center"/>
              <w:rPr>
                <w:sz w:val="24"/>
              </w:rPr>
            </w:pPr>
            <w:r>
              <w:rPr>
                <w:rFonts w:hint="eastAsia"/>
                <w:sz w:val="24"/>
              </w:rPr>
              <w:t>油雾净化器收集的淬火油</w:t>
            </w:r>
          </w:p>
        </w:tc>
        <w:tc>
          <w:tcPr>
            <w:tcW w:w="2342" w:type="dxa"/>
            <w:vMerge w:val="continue"/>
            <w:vAlign w:val="center"/>
          </w:tcPr>
          <w:p>
            <w:pPr>
              <w:spacing w:line="312" w:lineRule="auto"/>
              <w:jc w:val="center"/>
              <w:rPr>
                <w:spacing w:val="6"/>
                <w:sz w:val="24"/>
              </w:rPr>
            </w:pPr>
          </w:p>
        </w:tc>
        <w:tc>
          <w:tcPr>
            <w:tcW w:w="2340" w:type="dxa"/>
            <w:vMerge w:val="continue"/>
            <w:vAlign w:val="center"/>
          </w:tcPr>
          <w:p>
            <w:pPr>
              <w:spacing w:line="312" w:lineRule="auto"/>
              <w:jc w:val="center"/>
              <w:rPr>
                <w:rFonts w:hAnsi="宋体"/>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z w:val="24"/>
              </w:rPr>
            </w:pPr>
          </w:p>
        </w:tc>
        <w:tc>
          <w:tcPr>
            <w:tcW w:w="2158" w:type="dxa"/>
            <w:vAlign w:val="center"/>
          </w:tcPr>
          <w:p>
            <w:pPr>
              <w:spacing w:line="312" w:lineRule="auto"/>
              <w:jc w:val="center"/>
              <w:rPr>
                <w:sz w:val="24"/>
              </w:rPr>
            </w:pPr>
            <w:r>
              <w:rPr>
                <w:rFonts w:hint="eastAsia"/>
                <w:spacing w:val="6"/>
                <w:sz w:val="24"/>
              </w:rPr>
              <w:t>钢铁及塑料边角废料、残次品</w:t>
            </w:r>
          </w:p>
        </w:tc>
        <w:tc>
          <w:tcPr>
            <w:tcW w:w="2342" w:type="dxa"/>
            <w:vAlign w:val="center"/>
          </w:tcPr>
          <w:p>
            <w:pPr>
              <w:spacing w:line="312" w:lineRule="auto"/>
              <w:jc w:val="center"/>
              <w:rPr>
                <w:spacing w:val="6"/>
                <w:sz w:val="24"/>
              </w:rPr>
            </w:pPr>
            <w:r>
              <w:rPr>
                <w:rFonts w:hint="eastAsia"/>
                <w:sz w:val="24"/>
              </w:rPr>
              <w:t>外售废品回收站处理</w:t>
            </w:r>
          </w:p>
        </w:tc>
        <w:tc>
          <w:tcPr>
            <w:tcW w:w="2340" w:type="dxa"/>
            <w:vAlign w:val="center"/>
          </w:tcPr>
          <w:p>
            <w:pPr>
              <w:spacing w:line="312" w:lineRule="auto"/>
              <w:jc w:val="center"/>
              <w:rPr>
                <w:spacing w:val="6"/>
                <w:sz w:val="24"/>
              </w:rPr>
            </w:pPr>
            <w:r>
              <w:rPr>
                <w:rFonts w:hint="eastAsia"/>
                <w:spacing w:val="6"/>
                <w:sz w:val="24"/>
              </w:rPr>
              <w:t>有效处置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restart"/>
            <w:vAlign w:val="center"/>
          </w:tcPr>
          <w:p>
            <w:pPr>
              <w:spacing w:line="312" w:lineRule="auto"/>
              <w:jc w:val="center"/>
              <w:rPr>
                <w:sz w:val="24"/>
              </w:rPr>
            </w:pPr>
            <w:r>
              <w:rPr>
                <w:rFonts w:hint="eastAsia"/>
                <w:sz w:val="24"/>
              </w:rPr>
              <w:t>办公室</w:t>
            </w:r>
          </w:p>
        </w:tc>
        <w:tc>
          <w:tcPr>
            <w:tcW w:w="2158" w:type="dxa"/>
            <w:vAlign w:val="center"/>
          </w:tcPr>
          <w:p>
            <w:pPr>
              <w:spacing w:line="312" w:lineRule="auto"/>
              <w:jc w:val="center"/>
              <w:rPr>
                <w:sz w:val="24"/>
              </w:rPr>
            </w:pPr>
            <w:r>
              <w:rPr>
                <w:rFonts w:hint="eastAsia"/>
                <w:sz w:val="24"/>
              </w:rPr>
              <w:t>普通生活垃圾</w:t>
            </w:r>
          </w:p>
        </w:tc>
        <w:tc>
          <w:tcPr>
            <w:tcW w:w="2342" w:type="dxa"/>
            <w:vAlign w:val="center"/>
          </w:tcPr>
          <w:p>
            <w:pPr>
              <w:spacing w:line="312" w:lineRule="auto"/>
              <w:jc w:val="center"/>
              <w:rPr>
                <w:spacing w:val="6"/>
                <w:sz w:val="24"/>
              </w:rPr>
            </w:pPr>
            <w:r>
              <w:rPr>
                <w:rFonts w:hint="eastAsia"/>
                <w:spacing w:val="6"/>
                <w:sz w:val="24"/>
              </w:rPr>
              <w:t>委托当地卫生部门处理</w:t>
            </w:r>
          </w:p>
        </w:tc>
        <w:tc>
          <w:tcPr>
            <w:tcW w:w="2340" w:type="dxa"/>
            <w:vAlign w:val="center"/>
          </w:tcPr>
          <w:p>
            <w:pPr>
              <w:spacing w:line="312" w:lineRule="auto"/>
              <w:jc w:val="center"/>
              <w:rPr>
                <w:spacing w:val="6"/>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Merge w:val="continue"/>
            <w:vAlign w:val="center"/>
          </w:tcPr>
          <w:p>
            <w:pPr>
              <w:spacing w:line="312" w:lineRule="auto"/>
              <w:jc w:val="center"/>
              <w:rPr>
                <w:spacing w:val="6"/>
                <w:sz w:val="24"/>
              </w:rPr>
            </w:pPr>
          </w:p>
        </w:tc>
        <w:tc>
          <w:tcPr>
            <w:tcW w:w="1400" w:type="dxa"/>
            <w:vMerge w:val="continue"/>
            <w:vAlign w:val="center"/>
          </w:tcPr>
          <w:p>
            <w:pPr>
              <w:spacing w:line="312" w:lineRule="auto"/>
              <w:jc w:val="center"/>
              <w:rPr>
                <w:sz w:val="24"/>
              </w:rPr>
            </w:pPr>
          </w:p>
        </w:tc>
        <w:tc>
          <w:tcPr>
            <w:tcW w:w="2158" w:type="dxa"/>
            <w:vAlign w:val="center"/>
          </w:tcPr>
          <w:p>
            <w:pPr>
              <w:spacing w:line="312" w:lineRule="auto"/>
              <w:jc w:val="center"/>
              <w:rPr>
                <w:sz w:val="24"/>
              </w:rPr>
            </w:pPr>
            <w:r>
              <w:rPr>
                <w:rFonts w:hint="eastAsia"/>
                <w:sz w:val="24"/>
              </w:rPr>
              <w:t>隔油池等</w:t>
            </w:r>
          </w:p>
        </w:tc>
        <w:tc>
          <w:tcPr>
            <w:tcW w:w="2342" w:type="dxa"/>
            <w:vAlign w:val="center"/>
          </w:tcPr>
          <w:p>
            <w:pPr>
              <w:spacing w:line="312" w:lineRule="auto"/>
              <w:jc w:val="center"/>
              <w:rPr>
                <w:sz w:val="24"/>
              </w:rPr>
            </w:pPr>
            <w:r>
              <w:rPr>
                <w:rFonts w:hint="eastAsia"/>
                <w:sz w:val="24"/>
              </w:rPr>
              <w:t>委托湘潭市有专门处理餐厨垃圾资质的单位统一清运、处置</w:t>
            </w:r>
          </w:p>
        </w:tc>
        <w:tc>
          <w:tcPr>
            <w:tcW w:w="2340" w:type="dxa"/>
            <w:vAlign w:val="center"/>
          </w:tcPr>
          <w:p>
            <w:pPr>
              <w:spacing w:line="312" w:lineRule="auto"/>
              <w:jc w:val="center"/>
              <w:rPr>
                <w:spacing w:val="6"/>
                <w:sz w:val="24"/>
              </w:rPr>
            </w:pPr>
            <w:r>
              <w:rPr>
                <w:rFonts w:hint="eastAsia"/>
                <w:spacing w:val="6"/>
                <w:sz w:val="24"/>
              </w:rPr>
              <w:t>有效处置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Align w:val="center"/>
          </w:tcPr>
          <w:p>
            <w:pPr>
              <w:spacing w:line="312" w:lineRule="auto"/>
              <w:jc w:val="center"/>
              <w:rPr>
                <w:spacing w:val="6"/>
                <w:sz w:val="24"/>
              </w:rPr>
            </w:pPr>
            <w:r>
              <w:rPr>
                <w:spacing w:val="6"/>
                <w:sz w:val="24"/>
              </w:rPr>
              <w:t>噪声</w:t>
            </w:r>
          </w:p>
        </w:tc>
        <w:tc>
          <w:tcPr>
            <w:tcW w:w="8240" w:type="dxa"/>
            <w:gridSpan w:val="4"/>
            <w:vAlign w:val="center"/>
          </w:tcPr>
          <w:p>
            <w:pPr>
              <w:spacing w:line="312" w:lineRule="auto"/>
              <w:rPr>
                <w:spacing w:val="6"/>
                <w:sz w:val="24"/>
              </w:rPr>
            </w:pPr>
            <w:r>
              <w:rPr>
                <w:rFonts w:hint="eastAsia" w:ascii="宋体" w:cs="宋体"/>
                <w:bCs/>
                <w:sz w:val="24"/>
              </w:rPr>
              <w:t>本项目</w:t>
            </w:r>
            <w:r>
              <w:rPr>
                <w:sz w:val="24"/>
              </w:rPr>
              <w:t>主要产噪设备为</w:t>
            </w:r>
            <w:r>
              <w:rPr>
                <w:rFonts w:hint="eastAsia"/>
                <w:bCs/>
                <w:sz w:val="24"/>
              </w:rPr>
              <w:t>压机、车床、热处理炉、磨床、钻床、铣床、注塑机、装配机、风机等</w:t>
            </w:r>
            <w:r>
              <w:rPr>
                <w:rFonts w:hint="eastAsia"/>
                <w:sz w:val="24"/>
              </w:rPr>
              <w:t>，</w:t>
            </w:r>
            <w:r>
              <w:rPr>
                <w:sz w:val="24"/>
              </w:rPr>
              <w:t>噪声源强约为</w:t>
            </w:r>
            <w:r>
              <w:rPr>
                <w:rFonts w:hint="eastAsia"/>
                <w:sz w:val="24"/>
              </w:rPr>
              <w:t>70</w:t>
            </w:r>
            <w:r>
              <w:rPr>
                <w:sz w:val="24"/>
              </w:rPr>
              <w:t>-</w:t>
            </w:r>
            <w:r>
              <w:rPr>
                <w:rFonts w:hint="eastAsia"/>
                <w:sz w:val="24"/>
              </w:rPr>
              <w:t>95</w:t>
            </w:r>
            <w:r>
              <w:rPr>
                <w:sz w:val="24"/>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120" w:type="dxa"/>
            <w:vAlign w:val="center"/>
          </w:tcPr>
          <w:p>
            <w:pPr>
              <w:spacing w:line="312" w:lineRule="auto"/>
              <w:jc w:val="center"/>
              <w:rPr>
                <w:spacing w:val="6"/>
                <w:sz w:val="24"/>
              </w:rPr>
            </w:pPr>
            <w:r>
              <w:rPr>
                <w:spacing w:val="6"/>
                <w:sz w:val="24"/>
              </w:rPr>
              <w:t>其他</w:t>
            </w:r>
          </w:p>
        </w:tc>
        <w:tc>
          <w:tcPr>
            <w:tcW w:w="8240" w:type="dxa"/>
            <w:gridSpan w:val="4"/>
            <w:vAlign w:val="center"/>
          </w:tcPr>
          <w:p>
            <w:pPr>
              <w:spacing w:line="312" w:lineRule="auto"/>
              <w:jc w:val="center"/>
              <w:rPr>
                <w:spacing w:val="6"/>
                <w:sz w:val="24"/>
              </w:rPr>
            </w:pPr>
            <w:r>
              <w:rPr>
                <w:spacing w:val="6"/>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9360" w:type="dxa"/>
            <w:gridSpan w:val="5"/>
          </w:tcPr>
          <w:p>
            <w:pPr>
              <w:spacing w:line="500" w:lineRule="exact"/>
              <w:rPr>
                <w:b/>
                <w:sz w:val="24"/>
              </w:rPr>
            </w:pPr>
            <w:r>
              <w:rPr>
                <w:b/>
                <w:sz w:val="24"/>
              </w:rPr>
              <w:t>生态保护措施及预期效果：</w:t>
            </w:r>
          </w:p>
          <w:p>
            <w:pPr>
              <w:pStyle w:val="79"/>
              <w:spacing w:line="360" w:lineRule="auto"/>
              <w:ind w:firstLine="480" w:firstLineChars="200"/>
              <w:jc w:val="both"/>
              <w:rPr>
                <w:rFonts w:ascii="Times New Roman" w:cs="Times New Roman"/>
                <w:color w:val="auto"/>
              </w:rPr>
            </w:pPr>
            <w:r>
              <w:rPr>
                <w:rFonts w:hint="eastAsia" w:ascii="Times New Roman" w:hAnsi="宋体" w:cs="Times New Roman"/>
                <w:color w:val="auto"/>
              </w:rPr>
              <w:t>施工期本项目</w:t>
            </w:r>
            <w:r>
              <w:rPr>
                <w:rFonts w:hint="eastAsia" w:ascii="Times New Roman"/>
                <w:color w:val="auto"/>
              </w:rPr>
              <w:t>通过</w:t>
            </w:r>
            <w:r>
              <w:rPr>
                <w:rFonts w:ascii="Times New Roman"/>
                <w:color w:val="auto"/>
              </w:rPr>
              <w:t>合理布置施工作业面</w:t>
            </w:r>
            <w:r>
              <w:rPr>
                <w:rFonts w:hint="eastAsia" w:ascii="Times New Roman"/>
                <w:color w:val="auto"/>
              </w:rPr>
              <w:t>、</w:t>
            </w:r>
            <w:r>
              <w:rPr>
                <w:rFonts w:ascii="Times New Roman"/>
                <w:color w:val="auto"/>
              </w:rPr>
              <w:t>规范化堆放</w:t>
            </w:r>
            <w:r>
              <w:rPr>
                <w:rFonts w:hint="eastAsia" w:ascii="Times New Roman"/>
                <w:color w:val="auto"/>
              </w:rPr>
              <w:t>土石方等措施减缓水土流失现象。此外，项目建设</w:t>
            </w:r>
            <w:r>
              <w:rPr>
                <w:rFonts w:hint="eastAsia" w:ascii="Times New Roman" w:hAnsi="宋体" w:cs="Times New Roman"/>
                <w:color w:val="auto"/>
              </w:rPr>
              <w:t>将</w:t>
            </w:r>
            <w:r>
              <w:rPr>
                <w:rFonts w:ascii="Times New Roman" w:hAnsi="宋体" w:cs="Times New Roman"/>
                <w:color w:val="auto"/>
              </w:rPr>
              <w:t>严格按生态规律要求，协调处理好项目建设和生态环境保护之间的关系，</w:t>
            </w:r>
            <w:r>
              <w:rPr>
                <w:rFonts w:hint="eastAsia" w:ascii="Times New Roman" w:hAnsi="宋体" w:cs="Times New Roman"/>
                <w:color w:val="auto"/>
              </w:rPr>
              <w:t>并引进当地常见绿化植被对场地进行绿化（本项目建成后绿化面积达</w:t>
            </w:r>
            <w:r>
              <w:rPr>
                <w:rFonts w:hint="eastAsia"/>
                <w:spacing w:val="6"/>
              </w:rPr>
              <w:t>15010.66</w:t>
            </w:r>
            <w:r>
              <w:rPr>
                <w:rFonts w:hint="eastAsia" w:ascii="Times New Roman" w:hAnsi="宋体" w:cs="Times New Roman"/>
                <w:color w:val="auto"/>
              </w:rPr>
              <w:t>m</w:t>
            </w:r>
            <w:r>
              <w:rPr>
                <w:rFonts w:hint="eastAsia" w:ascii="Times New Roman" w:hAnsi="宋体" w:cs="Times New Roman"/>
                <w:color w:val="auto"/>
                <w:vertAlign w:val="superscript"/>
              </w:rPr>
              <w:t>2</w:t>
            </w:r>
            <w:r>
              <w:rPr>
                <w:rFonts w:hint="eastAsia" w:ascii="Times New Roman" w:hAnsi="宋体" w:cs="Times New Roman"/>
                <w:color w:val="auto"/>
              </w:rPr>
              <w:t>），以</w:t>
            </w:r>
            <w:r>
              <w:rPr>
                <w:rFonts w:ascii="Times New Roman" w:hAnsi="宋体" w:cs="Times New Roman"/>
                <w:color w:val="auto"/>
              </w:rPr>
              <w:t>作为生态补偿</w:t>
            </w:r>
            <w:r>
              <w:rPr>
                <w:rFonts w:hint="eastAsia" w:ascii="Times New Roman" w:hAnsi="宋体" w:cs="Times New Roman"/>
                <w:color w:val="auto"/>
              </w:rPr>
              <w:t>。</w:t>
            </w:r>
          </w:p>
          <w:p>
            <w:pPr>
              <w:spacing w:line="360" w:lineRule="auto"/>
              <w:ind w:firstLine="450"/>
              <w:rPr>
                <w:spacing w:val="6"/>
                <w:sz w:val="24"/>
              </w:rPr>
            </w:pPr>
            <w:r>
              <w:rPr>
                <w:rFonts w:hint="eastAsia"/>
                <w:sz w:val="24"/>
              </w:rPr>
              <w:t>营运期本项目落实环评提出的各项环保措施后，废水、废气、噪声均能达标排放，固废能得到有效处置，项目运营对项目周边生态环境影响较小。</w:t>
            </w:r>
          </w:p>
          <w:p>
            <w:pPr>
              <w:spacing w:line="360" w:lineRule="auto"/>
              <w:ind w:firstLine="450"/>
              <w:rPr>
                <w:sz w:val="24"/>
              </w:rPr>
            </w:pPr>
            <w:r>
              <w:rPr>
                <w:rFonts w:hint="eastAsia" w:hAnsi="宋体"/>
                <w:sz w:val="24"/>
              </w:rPr>
              <w:t>综上，项目建设</w:t>
            </w:r>
            <w:r>
              <w:rPr>
                <w:rFonts w:hAnsi="宋体"/>
                <w:sz w:val="24"/>
              </w:rPr>
              <w:t>则对周围生态环境影响不大。</w:t>
            </w: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z w:val="24"/>
              </w:rPr>
            </w:pPr>
          </w:p>
          <w:p>
            <w:pPr>
              <w:spacing w:line="360" w:lineRule="auto"/>
              <w:ind w:firstLine="450"/>
              <w:rPr>
                <w:spacing w:val="6"/>
                <w:sz w:val="24"/>
              </w:rPr>
            </w:pPr>
          </w:p>
        </w:tc>
      </w:tr>
    </w:tbl>
    <w:p>
      <w:pPr>
        <w:spacing w:line="360" w:lineRule="auto"/>
        <w:ind w:firstLine="586" w:firstLineChars="200"/>
        <w:rPr>
          <w:rFonts w:hint="eastAsia"/>
          <w:b/>
          <w:spacing w:val="6"/>
          <w:sz w:val="28"/>
        </w:rPr>
      </w:pPr>
    </w:p>
    <w:p>
      <w:pPr>
        <w:spacing w:line="460" w:lineRule="exact"/>
        <w:outlineLvl w:val="0"/>
        <w:rPr>
          <w:b/>
          <w:spacing w:val="6"/>
          <w:sz w:val="28"/>
        </w:rPr>
      </w:pPr>
      <w:r>
        <w:rPr>
          <w:rFonts w:hint="eastAsia"/>
          <w:b/>
          <w:spacing w:val="6"/>
          <w:sz w:val="28"/>
        </w:rPr>
        <w:t>九、</w:t>
      </w:r>
      <w:r>
        <w:rPr>
          <w:b/>
          <w:spacing w:val="6"/>
          <w:sz w:val="28"/>
        </w:rPr>
        <w:t>结论与建议</w:t>
      </w:r>
    </w:p>
    <w:tbl>
      <w:tblPr>
        <w:tblStyle w:val="29"/>
        <w:tblW w:w="95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
        <w:gridCol w:w="41"/>
        <w:gridCol w:w="9079"/>
        <w:gridCol w:w="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80" w:type="dxa"/>
          <w:trHeight w:val="13593" w:hRule="atLeast"/>
          <w:jc w:val="center"/>
        </w:trPr>
        <w:tc>
          <w:tcPr>
            <w:tcW w:w="9207" w:type="dxa"/>
            <w:gridSpan w:val="3"/>
          </w:tcPr>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 xml:space="preserve">9.1 </w:t>
            </w:r>
            <w:r>
              <w:rPr>
                <w:rFonts w:ascii="宋体" w:hAnsi="宋体"/>
                <w:b/>
                <w:bCs/>
                <w:color w:val="auto"/>
                <w:spacing w:val="-8"/>
                <w:sz w:val="28"/>
                <w:szCs w:val="28"/>
                <w:highlight w:val="none"/>
              </w:rPr>
              <w:t>结论</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9.1.1 项目概况</w:t>
            </w:r>
          </w:p>
          <w:p>
            <w:pPr>
              <w:spacing w:line="360" w:lineRule="auto"/>
              <w:ind w:firstLine="480" w:firstLineChars="200"/>
              <w:rPr>
                <w:rFonts w:hint="eastAsia"/>
                <w:color w:val="auto"/>
                <w:sz w:val="24"/>
                <w:highlight w:val="none"/>
              </w:rPr>
            </w:pPr>
            <w:r>
              <w:rPr>
                <w:rFonts w:hint="eastAsia"/>
                <w:color w:val="auto"/>
                <w:sz w:val="24"/>
                <w:highlight w:val="none"/>
              </w:rPr>
              <w:t>舍弗勒（湘潭）有限公司拟投资</w:t>
            </w:r>
            <w:r>
              <w:rPr>
                <w:rFonts w:hint="eastAsia"/>
                <w:color w:val="auto"/>
                <w:spacing w:val="6"/>
                <w:sz w:val="24"/>
                <w:highlight w:val="none"/>
              </w:rPr>
              <w:t>8000万元</w:t>
            </w:r>
            <w:r>
              <w:rPr>
                <w:rFonts w:hint="eastAsia"/>
                <w:color w:val="auto"/>
                <w:sz w:val="24"/>
                <w:highlight w:val="none"/>
              </w:rPr>
              <w:t>在湘潭经济技术开发区湘望路以西，江南大道以东，白石西路以北地块建设“舍弗勒（湘潭）有限公司汽车零部件建设项目一期工程”。该项目总占地面积124606.1m</w:t>
            </w:r>
            <w:r>
              <w:rPr>
                <w:rFonts w:hint="eastAsia"/>
                <w:color w:val="auto"/>
                <w:sz w:val="24"/>
                <w:highlight w:val="none"/>
                <w:vertAlign w:val="superscript"/>
              </w:rPr>
              <w:t>2</w:t>
            </w:r>
            <w:r>
              <w:rPr>
                <w:rFonts w:hint="eastAsia"/>
                <w:color w:val="auto"/>
                <w:sz w:val="24"/>
                <w:highlight w:val="none"/>
              </w:rPr>
              <w:t>，总建筑面积67883.98m</w:t>
            </w:r>
            <w:r>
              <w:rPr>
                <w:rFonts w:hint="eastAsia"/>
                <w:color w:val="auto"/>
                <w:sz w:val="24"/>
                <w:highlight w:val="none"/>
                <w:vertAlign w:val="superscript"/>
              </w:rPr>
              <w:t>2</w:t>
            </w:r>
            <w:r>
              <w:rPr>
                <w:rFonts w:hint="eastAsia"/>
                <w:color w:val="auto"/>
                <w:sz w:val="24"/>
                <w:highlight w:val="none"/>
              </w:rPr>
              <w:t>，建成后年生产滚子摇臂、可变滚子摇臂、悬架轴承、轮毂轴承、张紧器、热管理模块等汽车零部件4310万件。项目目前处于前期准备工作阶段，预计2022年12月投入运营。</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9.1.2 环境质量现状评价</w:t>
            </w:r>
          </w:p>
          <w:p>
            <w:pPr>
              <w:spacing w:line="360" w:lineRule="auto"/>
              <w:ind w:firstLine="480" w:firstLineChars="200"/>
              <w:rPr>
                <w:bCs/>
                <w:color w:val="auto"/>
                <w:sz w:val="24"/>
                <w:highlight w:val="none"/>
              </w:rPr>
            </w:pPr>
            <w:r>
              <w:rPr>
                <w:rFonts w:hint="eastAsia"/>
                <w:bCs/>
                <w:color w:val="auto"/>
                <w:sz w:val="24"/>
                <w:highlight w:val="none"/>
              </w:rPr>
              <w:t>（1）环境空气</w:t>
            </w:r>
          </w:p>
          <w:p>
            <w:pPr>
              <w:spacing w:line="360" w:lineRule="auto"/>
              <w:ind w:firstLine="480" w:firstLineChars="200"/>
              <w:rPr>
                <w:color w:val="auto"/>
                <w:sz w:val="24"/>
                <w:highlight w:val="none"/>
              </w:rPr>
            </w:pPr>
            <w:r>
              <w:rPr>
                <w:rFonts w:hint="eastAsia"/>
                <w:color w:val="auto"/>
                <w:sz w:val="24"/>
                <w:highlight w:val="none"/>
              </w:rPr>
              <w:t>监测期间，项目东南1265m处</w:t>
            </w:r>
            <w:r>
              <w:rPr>
                <w:color w:val="auto"/>
                <w:sz w:val="24"/>
                <w:highlight w:val="none"/>
              </w:rPr>
              <w:t>SO</w:t>
            </w:r>
            <w:r>
              <w:rPr>
                <w:color w:val="auto"/>
                <w:sz w:val="24"/>
                <w:highlight w:val="none"/>
                <w:vertAlign w:val="subscript"/>
              </w:rPr>
              <w:t>2</w:t>
            </w:r>
            <w:r>
              <w:rPr>
                <w:rFonts w:hint="eastAsia"/>
                <w:color w:val="auto"/>
                <w:sz w:val="24"/>
                <w:highlight w:val="none"/>
              </w:rPr>
              <w:t>、</w:t>
            </w:r>
            <w:r>
              <w:rPr>
                <w:color w:val="auto"/>
                <w:sz w:val="24"/>
                <w:highlight w:val="none"/>
              </w:rPr>
              <w:t>NO</w:t>
            </w:r>
            <w:r>
              <w:rPr>
                <w:color w:val="auto"/>
                <w:sz w:val="24"/>
                <w:highlight w:val="none"/>
                <w:vertAlign w:val="subscript"/>
              </w:rPr>
              <w:t>2</w:t>
            </w:r>
            <w:r>
              <w:rPr>
                <w:rFonts w:hint="eastAsia"/>
                <w:color w:val="auto"/>
                <w:sz w:val="24"/>
                <w:highlight w:val="none"/>
              </w:rPr>
              <w:t>、</w:t>
            </w:r>
            <w:r>
              <w:rPr>
                <w:color w:val="auto"/>
                <w:sz w:val="24"/>
                <w:highlight w:val="none"/>
              </w:rPr>
              <w:t>PM</w:t>
            </w:r>
            <w:r>
              <w:rPr>
                <w:rFonts w:hint="eastAsia"/>
                <w:color w:val="auto"/>
                <w:sz w:val="24"/>
                <w:highlight w:val="none"/>
                <w:vertAlign w:val="subscript"/>
              </w:rPr>
              <w:t>10</w:t>
            </w:r>
            <w:r>
              <w:rPr>
                <w:rFonts w:hint="eastAsia"/>
                <w:color w:val="auto"/>
                <w:sz w:val="24"/>
                <w:highlight w:val="none"/>
              </w:rPr>
              <w:t>、</w:t>
            </w:r>
            <w:r>
              <w:rPr>
                <w:color w:val="auto"/>
                <w:sz w:val="24"/>
                <w:highlight w:val="none"/>
              </w:rPr>
              <w:t>PM</w:t>
            </w:r>
            <w:r>
              <w:rPr>
                <w:rFonts w:hint="eastAsia"/>
                <w:color w:val="auto"/>
                <w:sz w:val="24"/>
                <w:highlight w:val="none"/>
                <w:vertAlign w:val="subscript"/>
              </w:rPr>
              <w:t>2.5</w:t>
            </w:r>
            <w:r>
              <w:rPr>
                <w:rFonts w:hint="eastAsia"/>
                <w:color w:val="auto"/>
                <w:sz w:val="24"/>
                <w:highlight w:val="none"/>
              </w:rPr>
              <w:t>日均值均</w:t>
            </w:r>
            <w:r>
              <w:rPr>
                <w:color w:val="auto"/>
                <w:kern w:val="0"/>
                <w:sz w:val="24"/>
                <w:highlight w:val="none"/>
                <w:lang w:val="zh-CN"/>
              </w:rPr>
              <w:t>《环境空气质量标准》</w:t>
            </w:r>
            <w:r>
              <w:rPr>
                <w:rFonts w:hint="eastAsia"/>
                <w:color w:val="auto"/>
                <w:kern w:val="0"/>
                <w:sz w:val="24"/>
                <w:highlight w:val="none"/>
                <w:lang w:val="zh-CN"/>
              </w:rPr>
              <w:t>（</w:t>
            </w:r>
            <w:r>
              <w:rPr>
                <w:color w:val="auto"/>
                <w:kern w:val="0"/>
                <w:sz w:val="24"/>
                <w:highlight w:val="none"/>
                <w:lang w:val="zh-CN"/>
              </w:rPr>
              <w:t>GB3095-</w:t>
            </w:r>
            <w:r>
              <w:rPr>
                <w:rFonts w:hint="eastAsia"/>
                <w:color w:val="auto"/>
                <w:kern w:val="0"/>
                <w:sz w:val="24"/>
                <w:highlight w:val="none"/>
                <w:lang w:val="zh-CN"/>
              </w:rPr>
              <w:t>2012）</w:t>
            </w:r>
            <w:r>
              <w:rPr>
                <w:color w:val="auto"/>
                <w:kern w:val="0"/>
                <w:sz w:val="24"/>
                <w:highlight w:val="none"/>
                <w:lang w:val="zh-CN"/>
              </w:rPr>
              <w:t>中二级标准</w:t>
            </w:r>
            <w:r>
              <w:rPr>
                <w:rFonts w:hint="eastAsia"/>
                <w:color w:val="auto"/>
                <w:kern w:val="0"/>
                <w:sz w:val="24"/>
                <w:highlight w:val="none"/>
                <w:lang w:val="zh-CN"/>
              </w:rPr>
              <w:t>要求，VOCs满足《室内空气质量标准》（GBT18883-2002）表1标准要求。</w:t>
            </w:r>
            <w:r>
              <w:rPr>
                <w:rFonts w:hint="eastAsia"/>
                <w:color w:val="auto"/>
                <w:sz w:val="24"/>
                <w:highlight w:val="none"/>
              </w:rPr>
              <w:t>项目南面883m处</w:t>
            </w:r>
            <w:r>
              <w:rPr>
                <w:color w:val="auto"/>
                <w:sz w:val="24"/>
                <w:highlight w:val="none"/>
              </w:rPr>
              <w:t>SO</w:t>
            </w:r>
            <w:r>
              <w:rPr>
                <w:color w:val="auto"/>
                <w:sz w:val="24"/>
                <w:highlight w:val="none"/>
                <w:vertAlign w:val="subscript"/>
              </w:rPr>
              <w:t>2</w:t>
            </w:r>
            <w:r>
              <w:rPr>
                <w:rFonts w:hint="eastAsia"/>
                <w:color w:val="auto"/>
                <w:sz w:val="24"/>
                <w:highlight w:val="none"/>
              </w:rPr>
              <w:t>、</w:t>
            </w:r>
            <w:r>
              <w:rPr>
                <w:color w:val="auto"/>
                <w:sz w:val="24"/>
                <w:highlight w:val="none"/>
              </w:rPr>
              <w:t>NO</w:t>
            </w:r>
            <w:r>
              <w:rPr>
                <w:color w:val="auto"/>
                <w:sz w:val="24"/>
                <w:highlight w:val="none"/>
                <w:vertAlign w:val="subscript"/>
              </w:rPr>
              <w:t>2</w:t>
            </w:r>
            <w:r>
              <w:rPr>
                <w:rFonts w:hint="eastAsia"/>
                <w:color w:val="auto"/>
                <w:sz w:val="24"/>
                <w:highlight w:val="none"/>
              </w:rPr>
              <w:t>小时值，</w:t>
            </w:r>
            <w:r>
              <w:rPr>
                <w:color w:val="auto"/>
                <w:sz w:val="24"/>
                <w:highlight w:val="none"/>
              </w:rPr>
              <w:t>PM</w:t>
            </w:r>
            <w:r>
              <w:rPr>
                <w:rFonts w:hint="eastAsia"/>
                <w:color w:val="auto"/>
                <w:sz w:val="24"/>
                <w:highlight w:val="none"/>
                <w:vertAlign w:val="subscript"/>
              </w:rPr>
              <w:t>10</w:t>
            </w:r>
            <w:r>
              <w:rPr>
                <w:rFonts w:hint="eastAsia"/>
                <w:color w:val="auto"/>
                <w:sz w:val="24"/>
                <w:highlight w:val="none"/>
              </w:rPr>
              <w:t>、</w:t>
            </w:r>
            <w:r>
              <w:rPr>
                <w:color w:val="auto"/>
                <w:sz w:val="24"/>
                <w:highlight w:val="none"/>
              </w:rPr>
              <w:t>PM</w:t>
            </w:r>
            <w:r>
              <w:rPr>
                <w:rFonts w:hint="eastAsia"/>
                <w:color w:val="auto"/>
                <w:sz w:val="24"/>
                <w:highlight w:val="none"/>
                <w:vertAlign w:val="subscript"/>
              </w:rPr>
              <w:t>2.5</w:t>
            </w:r>
            <w:r>
              <w:rPr>
                <w:rFonts w:hint="eastAsia"/>
                <w:color w:val="auto"/>
                <w:sz w:val="24"/>
                <w:highlight w:val="none"/>
              </w:rPr>
              <w:t>日均值均</w:t>
            </w:r>
            <w:r>
              <w:rPr>
                <w:color w:val="auto"/>
                <w:kern w:val="0"/>
                <w:sz w:val="24"/>
                <w:highlight w:val="none"/>
                <w:lang w:val="zh-CN"/>
              </w:rPr>
              <w:t>《环境空气质量标准》</w:t>
            </w:r>
            <w:r>
              <w:rPr>
                <w:rFonts w:hint="eastAsia"/>
                <w:color w:val="auto"/>
                <w:kern w:val="0"/>
                <w:sz w:val="24"/>
                <w:highlight w:val="none"/>
                <w:lang w:val="zh-CN"/>
              </w:rPr>
              <w:t>（</w:t>
            </w:r>
            <w:r>
              <w:rPr>
                <w:color w:val="auto"/>
                <w:kern w:val="0"/>
                <w:sz w:val="24"/>
                <w:highlight w:val="none"/>
                <w:lang w:val="zh-CN"/>
              </w:rPr>
              <w:t>GB3095-</w:t>
            </w:r>
            <w:r>
              <w:rPr>
                <w:rFonts w:hint="eastAsia"/>
                <w:color w:val="auto"/>
                <w:kern w:val="0"/>
                <w:sz w:val="24"/>
                <w:highlight w:val="none"/>
                <w:lang w:val="zh-CN"/>
              </w:rPr>
              <w:t>2012）</w:t>
            </w:r>
            <w:r>
              <w:rPr>
                <w:color w:val="auto"/>
                <w:kern w:val="0"/>
                <w:sz w:val="24"/>
                <w:highlight w:val="none"/>
                <w:lang w:val="zh-CN"/>
              </w:rPr>
              <w:t>中二级标准</w:t>
            </w:r>
            <w:r>
              <w:rPr>
                <w:rFonts w:hint="eastAsia"/>
                <w:color w:val="auto"/>
                <w:kern w:val="0"/>
                <w:sz w:val="24"/>
                <w:highlight w:val="none"/>
                <w:lang w:val="zh-CN"/>
              </w:rPr>
              <w:t>要求，VOCs满足《室内空气质量标准》（GBT18883-2002）表1标准要求，非甲烷总烃满足《环境空气质量  非甲烷总烃限值》（DB13/1577-2012）表1中二级标准。</w:t>
            </w:r>
          </w:p>
          <w:p>
            <w:pPr>
              <w:spacing w:line="360" w:lineRule="auto"/>
              <w:ind w:firstLine="480" w:firstLineChars="200"/>
              <w:rPr>
                <w:bCs/>
                <w:color w:val="auto"/>
                <w:sz w:val="24"/>
                <w:highlight w:val="none"/>
              </w:rPr>
            </w:pPr>
            <w:r>
              <w:rPr>
                <w:rFonts w:hint="eastAsia"/>
                <w:bCs/>
                <w:color w:val="auto"/>
                <w:sz w:val="24"/>
                <w:highlight w:val="none"/>
              </w:rPr>
              <w:t>（2）地表水</w:t>
            </w:r>
          </w:p>
          <w:p>
            <w:pPr>
              <w:spacing w:line="360" w:lineRule="auto"/>
              <w:ind w:firstLine="480" w:firstLineChars="200"/>
              <w:rPr>
                <w:color w:val="auto"/>
                <w:sz w:val="24"/>
                <w:highlight w:val="none"/>
              </w:rPr>
            </w:pPr>
            <w:r>
              <w:rPr>
                <w:rFonts w:hint="eastAsia"/>
                <w:color w:val="auto"/>
                <w:sz w:val="24"/>
                <w:highlight w:val="none"/>
              </w:rPr>
              <w:t>该区域纳污水体为湘江，项目废水经湘潭经济技术开发区污水管网后汇入九华污水处理厂，达标处理后最终汇入湘江。2015年湘潭市湘江常规监测断面——五星、易家湾断面的水质监测因子中除粪大肠菌群超标外，其余各监测因子均达到《地表水环境质量标准》（GB3838-2002）Ⅲ类标准要求。</w:t>
            </w:r>
          </w:p>
          <w:p>
            <w:pPr>
              <w:spacing w:line="360" w:lineRule="auto"/>
              <w:ind w:firstLine="480" w:firstLineChars="200"/>
              <w:rPr>
                <w:bCs/>
                <w:color w:val="auto"/>
                <w:sz w:val="24"/>
                <w:highlight w:val="none"/>
              </w:rPr>
            </w:pPr>
            <w:r>
              <w:rPr>
                <w:rFonts w:hint="eastAsia"/>
                <w:bCs/>
                <w:color w:val="auto"/>
                <w:sz w:val="24"/>
                <w:highlight w:val="none"/>
              </w:rPr>
              <w:t>（3）声环境</w:t>
            </w:r>
          </w:p>
          <w:p>
            <w:pPr>
              <w:spacing w:line="360" w:lineRule="auto"/>
              <w:ind w:firstLine="480" w:firstLineChars="200"/>
              <w:rPr>
                <w:color w:val="auto"/>
                <w:sz w:val="24"/>
                <w:highlight w:val="none"/>
              </w:rPr>
            </w:pPr>
            <w:r>
              <w:rPr>
                <w:rFonts w:hint="eastAsia"/>
                <w:color w:val="auto"/>
                <w:sz w:val="24"/>
                <w:highlight w:val="none"/>
              </w:rPr>
              <w:t>监测数据表明，监测期间舍弗勒（湘潭）项目整体工程南面厂界外1m处、西面厂界外1m处、厂界外1m处环境噪声均可满足</w:t>
            </w:r>
            <w:r>
              <w:rPr>
                <w:color w:val="auto"/>
                <w:sz w:val="24"/>
                <w:highlight w:val="none"/>
              </w:rPr>
              <w:t>《声环境质量标准》（GB3096-2008）的</w:t>
            </w:r>
            <w:r>
              <w:rPr>
                <w:rFonts w:hint="eastAsia"/>
                <w:color w:val="auto"/>
                <w:sz w:val="24"/>
                <w:highlight w:val="none"/>
              </w:rPr>
              <w:t>4a</w:t>
            </w:r>
            <w:r>
              <w:rPr>
                <w:color w:val="auto"/>
                <w:sz w:val="24"/>
                <w:highlight w:val="none"/>
              </w:rPr>
              <w:t>类标准</w:t>
            </w:r>
            <w:r>
              <w:rPr>
                <w:rFonts w:hint="eastAsia"/>
                <w:color w:val="auto"/>
                <w:sz w:val="24"/>
                <w:highlight w:val="none"/>
              </w:rPr>
              <w:t>要求，东面厂界外1m处环境噪声可满足</w:t>
            </w:r>
            <w:r>
              <w:rPr>
                <w:color w:val="auto"/>
                <w:sz w:val="24"/>
                <w:highlight w:val="none"/>
              </w:rPr>
              <w:t>GB3096-2008的</w:t>
            </w:r>
            <w:r>
              <w:rPr>
                <w:rFonts w:hint="eastAsia"/>
                <w:color w:val="auto"/>
                <w:sz w:val="24"/>
                <w:highlight w:val="none"/>
              </w:rPr>
              <w:t>3</w:t>
            </w:r>
            <w:r>
              <w:rPr>
                <w:color w:val="auto"/>
                <w:sz w:val="24"/>
                <w:highlight w:val="none"/>
              </w:rPr>
              <w:t>类标准</w:t>
            </w:r>
            <w:r>
              <w:rPr>
                <w:rFonts w:hint="eastAsia"/>
                <w:color w:val="auto"/>
                <w:sz w:val="24"/>
                <w:highlight w:val="none"/>
              </w:rPr>
              <w:t>要求。</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9.1.3 环境影响分析</w:t>
            </w:r>
          </w:p>
          <w:p>
            <w:pPr>
              <w:spacing w:line="360" w:lineRule="auto"/>
              <w:ind w:firstLine="480" w:firstLineChars="200"/>
              <w:rPr>
                <w:rFonts w:hint="eastAsia"/>
                <w:bCs/>
                <w:color w:val="auto"/>
                <w:sz w:val="24"/>
                <w:highlight w:val="none"/>
              </w:rPr>
            </w:pPr>
            <w:r>
              <w:rPr>
                <w:rFonts w:hint="eastAsia"/>
                <w:bCs/>
                <w:color w:val="auto"/>
                <w:sz w:val="24"/>
                <w:highlight w:val="none"/>
              </w:rPr>
              <w:t>（1）废气</w:t>
            </w:r>
          </w:p>
          <w:p>
            <w:pPr>
              <w:spacing w:line="360" w:lineRule="auto"/>
              <w:ind w:firstLine="480" w:firstLineChars="200"/>
              <w:rPr>
                <w:rFonts w:hint="eastAsia"/>
                <w:bCs/>
                <w:color w:val="auto"/>
                <w:sz w:val="24"/>
                <w:highlight w:val="none"/>
              </w:rPr>
            </w:pPr>
            <w:r>
              <w:rPr>
                <w:rFonts w:hint="eastAsia"/>
                <w:bCs/>
                <w:color w:val="auto"/>
                <w:sz w:val="24"/>
                <w:highlight w:val="none"/>
              </w:rPr>
              <w:t>施工期的环境空气污染主要是TSP。响水乡政府距离施工项目较近，受到一定程度的影响，但影响时间短。施工期拟采用施工现场定时洒水，运输筑路材料的车辆加盖棚布，料场远离敏感点并掩盖等措施，可有效控制施工废气对环境带来的不利影响。</w:t>
            </w:r>
          </w:p>
          <w:p>
            <w:pPr>
              <w:spacing w:line="360" w:lineRule="auto"/>
              <w:ind w:firstLine="480" w:firstLineChars="200"/>
              <w:rPr>
                <w:rFonts w:hint="eastAsia"/>
                <w:bCs/>
                <w:color w:val="auto"/>
                <w:sz w:val="24"/>
                <w:highlight w:val="none"/>
              </w:rPr>
            </w:pPr>
            <w:r>
              <w:rPr>
                <w:rFonts w:hint="eastAsia"/>
                <w:color w:val="auto"/>
                <w:kern w:val="0"/>
                <w:sz w:val="24"/>
                <w:highlight w:val="none"/>
              </w:rPr>
              <w:t>项目热处理废气中的高温加热炉废气经燃烧处理、淬火废气经油雾净化器处理后通过15m排气筒排放，清洗废气收集后通过15m排气筒排放，注塑废气无组织排放，食堂油烟废气经油烟净化器处理后引至楼顶排放。</w:t>
            </w:r>
          </w:p>
          <w:p>
            <w:pPr>
              <w:spacing w:line="360" w:lineRule="auto"/>
              <w:ind w:firstLine="480" w:firstLineChars="200"/>
              <w:rPr>
                <w:rFonts w:hint="eastAsia"/>
                <w:color w:val="auto"/>
                <w:sz w:val="24"/>
                <w:highlight w:val="none"/>
              </w:rPr>
            </w:pPr>
            <w:r>
              <w:rPr>
                <w:rFonts w:hint="eastAsia"/>
                <w:color w:val="auto"/>
                <w:sz w:val="24"/>
                <w:highlight w:val="none"/>
              </w:rPr>
              <w:t>采取上述措施后，项目废气不会对项目周边环境产生明显不利影响。</w:t>
            </w:r>
          </w:p>
          <w:p>
            <w:pPr>
              <w:spacing w:line="360" w:lineRule="auto"/>
              <w:ind w:firstLine="480" w:firstLineChars="200"/>
              <w:rPr>
                <w:rFonts w:hint="eastAsia"/>
                <w:bCs/>
                <w:color w:val="auto"/>
                <w:sz w:val="24"/>
                <w:highlight w:val="none"/>
              </w:rPr>
            </w:pPr>
            <w:r>
              <w:rPr>
                <w:rFonts w:hint="eastAsia"/>
                <w:bCs/>
                <w:color w:val="auto"/>
                <w:sz w:val="24"/>
                <w:highlight w:val="none"/>
              </w:rPr>
              <w:t>（2）废水</w:t>
            </w:r>
          </w:p>
          <w:p>
            <w:pPr>
              <w:spacing w:line="360" w:lineRule="auto"/>
              <w:ind w:firstLine="480" w:firstLineChars="200"/>
              <w:rPr>
                <w:rFonts w:hint="eastAsia"/>
                <w:color w:val="auto"/>
                <w:sz w:val="24"/>
                <w:highlight w:val="none"/>
              </w:rPr>
            </w:pPr>
            <w:r>
              <w:rPr>
                <w:rFonts w:hint="eastAsia"/>
                <w:color w:val="auto"/>
                <w:sz w:val="24"/>
                <w:highlight w:val="none"/>
              </w:rPr>
              <w:t>施工期废水主要是生产废水和生活污水，其中生产废水含有一定量的油污和泥沙，经隔油沉淀后回用于场区洒水抑尘；生活废水主要污染因子有COD、悬浮物等。本项目</w:t>
            </w:r>
            <w:r>
              <w:rPr>
                <w:color w:val="auto"/>
                <w:sz w:val="24"/>
                <w:highlight w:val="none"/>
              </w:rPr>
              <w:t>施工</w:t>
            </w:r>
            <w:r>
              <w:rPr>
                <w:rFonts w:hint="eastAsia"/>
                <w:color w:val="auto"/>
                <w:sz w:val="24"/>
                <w:highlight w:val="none"/>
              </w:rPr>
              <w:t>场地不设生活营地，施工人员租赁项目周边现有房屋居住，其生活废水利用当地现有污水处理设施处理。</w:t>
            </w:r>
          </w:p>
          <w:p>
            <w:pPr>
              <w:spacing w:line="360" w:lineRule="auto"/>
              <w:ind w:firstLine="480" w:firstLineChars="200"/>
              <w:rPr>
                <w:bCs/>
                <w:color w:val="auto"/>
                <w:sz w:val="24"/>
                <w:highlight w:val="none"/>
              </w:rPr>
            </w:pPr>
            <w:r>
              <w:rPr>
                <w:rFonts w:hint="eastAsia"/>
                <w:color w:val="auto"/>
                <w:sz w:val="24"/>
                <w:highlight w:val="none"/>
              </w:rPr>
              <w:t>营运期项目废水主要为抛光、喷砂废水，生产车间拖地废水，生活废水。</w:t>
            </w:r>
            <w:r>
              <w:rPr>
                <w:rFonts w:hint="eastAsia"/>
                <w:bCs/>
                <w:color w:val="auto"/>
                <w:sz w:val="24"/>
                <w:highlight w:val="none"/>
              </w:rPr>
              <w:t>项目抛光喷砂废水、车间拖地废水、员工生活废水中的食堂含油污水经隔油池处理后，与其他生活废水进入化粪池处理，然后排入湘潭市九华污水处理厂处理达到《城镇污水处理厂污染物排放标准》（</w:t>
            </w:r>
            <w:r>
              <w:rPr>
                <w:bCs/>
                <w:color w:val="auto"/>
                <w:sz w:val="24"/>
                <w:highlight w:val="none"/>
              </w:rPr>
              <w:t>GB18918-2002</w:t>
            </w:r>
            <w:r>
              <w:rPr>
                <w:rFonts w:hint="eastAsia"/>
                <w:bCs/>
                <w:color w:val="auto"/>
                <w:sz w:val="24"/>
                <w:highlight w:val="none"/>
              </w:rPr>
              <w:t>）规定的一级</w:t>
            </w:r>
            <w:r>
              <w:rPr>
                <w:bCs/>
                <w:color w:val="auto"/>
                <w:sz w:val="24"/>
                <w:highlight w:val="none"/>
              </w:rPr>
              <w:t>A</w:t>
            </w:r>
            <w:r>
              <w:rPr>
                <w:rFonts w:hint="eastAsia"/>
                <w:bCs/>
                <w:color w:val="auto"/>
                <w:sz w:val="24"/>
                <w:highlight w:val="none"/>
              </w:rPr>
              <w:t>标准后最终汇入湘江。</w:t>
            </w:r>
          </w:p>
          <w:p>
            <w:pPr>
              <w:spacing w:line="360" w:lineRule="auto"/>
              <w:ind w:firstLine="480" w:firstLineChars="200"/>
              <w:rPr>
                <w:bCs/>
                <w:color w:val="auto"/>
                <w:sz w:val="24"/>
                <w:highlight w:val="none"/>
              </w:rPr>
            </w:pPr>
            <w:r>
              <w:rPr>
                <w:bCs/>
                <w:color w:val="auto"/>
                <w:sz w:val="24"/>
                <w:highlight w:val="none"/>
              </w:rPr>
              <w:t>采取上述措施处理项目废水后，项目废水对周边地表水环境影响很小。</w:t>
            </w:r>
          </w:p>
          <w:p>
            <w:pPr>
              <w:spacing w:line="360" w:lineRule="auto"/>
              <w:ind w:firstLine="480" w:firstLineChars="200"/>
              <w:rPr>
                <w:rFonts w:hint="eastAsia"/>
                <w:bCs/>
                <w:color w:val="auto"/>
                <w:sz w:val="24"/>
                <w:highlight w:val="none"/>
              </w:rPr>
            </w:pPr>
            <w:r>
              <w:rPr>
                <w:rFonts w:hint="eastAsia"/>
                <w:bCs/>
                <w:color w:val="auto"/>
                <w:sz w:val="24"/>
                <w:highlight w:val="none"/>
              </w:rPr>
              <w:t>（3）噪声</w:t>
            </w:r>
          </w:p>
          <w:p>
            <w:pPr>
              <w:spacing w:line="360" w:lineRule="auto"/>
              <w:ind w:firstLine="480" w:firstLineChars="200"/>
              <w:rPr>
                <w:rFonts w:hint="eastAsia"/>
                <w:bCs/>
                <w:color w:val="auto"/>
                <w:sz w:val="24"/>
                <w:highlight w:val="none"/>
              </w:rPr>
            </w:pPr>
            <w:r>
              <w:rPr>
                <w:rFonts w:hint="eastAsia"/>
                <w:color w:val="auto"/>
                <w:sz w:val="24"/>
                <w:highlight w:val="none"/>
              </w:rPr>
              <w:t>根据现场查勘</w:t>
            </w:r>
            <w:r>
              <w:rPr>
                <w:color w:val="auto"/>
                <w:sz w:val="24"/>
                <w:highlight w:val="none"/>
              </w:rPr>
              <w:t>可知</w:t>
            </w:r>
            <w:r>
              <w:rPr>
                <w:rFonts w:hint="eastAsia"/>
                <w:color w:val="auto"/>
                <w:sz w:val="24"/>
                <w:highlight w:val="none"/>
              </w:rPr>
              <w:t>，项目厂界四周300m范围内分布有杉山社区、响水乡政府等声环境敏感点，项目施工噪声会对其产生不利影响。</w:t>
            </w:r>
            <w:r>
              <w:rPr>
                <w:color w:val="auto"/>
                <w:sz w:val="24"/>
                <w:highlight w:val="none"/>
              </w:rPr>
              <w:t>施工噪声对环境的不利影响是短期的、暂时的，随着工程的竣工，施工噪声的影响将不再存在</w:t>
            </w:r>
            <w:r>
              <w:rPr>
                <w:rFonts w:hint="eastAsia"/>
                <w:color w:val="auto"/>
                <w:sz w:val="24"/>
                <w:highlight w:val="none"/>
              </w:rPr>
              <w:t>。</w:t>
            </w:r>
          </w:p>
          <w:p>
            <w:pPr>
              <w:spacing w:line="360" w:lineRule="auto"/>
              <w:ind w:firstLine="480" w:firstLineChars="200"/>
              <w:rPr>
                <w:rFonts w:hint="eastAsia"/>
                <w:bCs/>
                <w:color w:val="auto"/>
                <w:sz w:val="24"/>
                <w:highlight w:val="none"/>
              </w:rPr>
            </w:pPr>
            <w:r>
              <w:rPr>
                <w:rFonts w:hint="eastAsia"/>
                <w:bCs/>
                <w:color w:val="auto"/>
                <w:sz w:val="24"/>
                <w:highlight w:val="none"/>
              </w:rPr>
              <w:t>根据噪声影响分析可知，采取环评建议的噪声污染防治措施后，</w:t>
            </w:r>
            <w:r>
              <w:rPr>
                <w:rFonts w:hint="eastAsia" w:hAnsi="宋体"/>
                <w:color w:val="auto"/>
                <w:sz w:val="24"/>
                <w:highlight w:val="none"/>
              </w:rPr>
              <w:t>运营期项目南厂界、西厂界以及北厂界昼夜噪声满足《</w:t>
            </w:r>
            <w:r>
              <w:rPr>
                <w:rFonts w:hAnsi="宋体"/>
                <w:color w:val="auto"/>
                <w:sz w:val="24"/>
                <w:highlight w:val="none"/>
              </w:rPr>
              <w:t>工业企业厂界噪声排放标准》（GB12348-2008）</w:t>
            </w:r>
            <w:r>
              <w:rPr>
                <w:rFonts w:hint="eastAsia" w:hAnsi="宋体"/>
                <w:color w:val="auto"/>
                <w:sz w:val="24"/>
                <w:highlight w:val="none"/>
              </w:rPr>
              <w:t>4</w:t>
            </w:r>
            <w:r>
              <w:rPr>
                <w:rFonts w:hAnsi="宋体"/>
                <w:color w:val="auto"/>
                <w:sz w:val="24"/>
                <w:highlight w:val="none"/>
              </w:rPr>
              <w:t>类</w:t>
            </w:r>
            <w:r>
              <w:rPr>
                <w:rFonts w:hint="eastAsia" w:hAnsi="宋体"/>
                <w:color w:val="auto"/>
                <w:sz w:val="24"/>
                <w:highlight w:val="none"/>
              </w:rPr>
              <w:t>标准限值要求，东厂界昼夜噪声满足该标准中的3</w:t>
            </w:r>
            <w:r>
              <w:rPr>
                <w:rFonts w:hAnsi="宋体"/>
                <w:color w:val="auto"/>
                <w:sz w:val="24"/>
                <w:highlight w:val="none"/>
              </w:rPr>
              <w:t>类</w:t>
            </w:r>
            <w:r>
              <w:rPr>
                <w:rFonts w:hint="eastAsia" w:hAnsi="宋体"/>
                <w:color w:val="auto"/>
                <w:sz w:val="24"/>
                <w:highlight w:val="none"/>
              </w:rPr>
              <w:t>标准限值要求</w:t>
            </w:r>
            <w:r>
              <w:rPr>
                <w:rFonts w:hint="eastAsia"/>
                <w:bCs/>
                <w:color w:val="auto"/>
                <w:sz w:val="24"/>
                <w:highlight w:val="none"/>
              </w:rPr>
              <w:t>。</w:t>
            </w:r>
          </w:p>
          <w:p>
            <w:pPr>
              <w:spacing w:line="360" w:lineRule="auto"/>
              <w:ind w:firstLine="480" w:firstLineChars="200"/>
              <w:rPr>
                <w:bCs/>
                <w:color w:val="auto"/>
                <w:sz w:val="24"/>
                <w:highlight w:val="none"/>
              </w:rPr>
            </w:pPr>
            <w:r>
              <w:rPr>
                <w:rFonts w:hint="eastAsia"/>
                <w:bCs/>
                <w:color w:val="auto"/>
                <w:sz w:val="24"/>
                <w:highlight w:val="none"/>
              </w:rPr>
              <w:t>（4）固体废弃物</w:t>
            </w:r>
          </w:p>
          <w:p>
            <w:pPr>
              <w:spacing w:line="360" w:lineRule="auto"/>
              <w:ind w:firstLine="480" w:firstLineChars="200"/>
              <w:rPr>
                <w:color w:val="auto"/>
                <w:sz w:val="24"/>
                <w:highlight w:val="none"/>
              </w:rPr>
            </w:pPr>
            <w:r>
              <w:rPr>
                <w:rFonts w:hint="eastAsia"/>
                <w:color w:val="auto"/>
                <w:sz w:val="24"/>
                <w:highlight w:val="none"/>
              </w:rPr>
              <w:t>施工期项目建筑垃圾产生量约1697吨，产生的建筑垃圾定点堆放，</w:t>
            </w:r>
            <w:r>
              <w:rPr>
                <w:color w:val="auto"/>
                <w:sz w:val="24"/>
                <w:highlight w:val="none"/>
              </w:rPr>
              <w:t>委托湘潭市渣土办统一处置</w:t>
            </w:r>
            <w:r>
              <w:rPr>
                <w:rFonts w:hint="eastAsia"/>
                <w:color w:val="auto"/>
                <w:sz w:val="24"/>
                <w:highlight w:val="none"/>
              </w:rPr>
              <w:t>。</w:t>
            </w:r>
            <w:r>
              <w:rPr>
                <w:color w:val="auto"/>
                <w:sz w:val="24"/>
                <w:highlight w:val="none"/>
              </w:rPr>
              <w:t>项目施工人员生活垃圾产生量为</w:t>
            </w:r>
            <w:r>
              <w:rPr>
                <w:rFonts w:hint="eastAsia"/>
                <w:color w:val="auto"/>
                <w:sz w:val="24"/>
                <w:highlight w:val="none"/>
              </w:rPr>
              <w:t>50</w:t>
            </w:r>
            <w:r>
              <w:rPr>
                <w:color w:val="auto"/>
                <w:sz w:val="24"/>
                <w:highlight w:val="none"/>
              </w:rPr>
              <w:t>kg/d</w:t>
            </w:r>
            <w:r>
              <w:rPr>
                <w:rFonts w:hint="eastAsia"/>
                <w:color w:val="auto"/>
                <w:sz w:val="24"/>
                <w:highlight w:val="none"/>
              </w:rPr>
              <w:t>，集中收集后与当地生活垃圾一同处置。</w:t>
            </w:r>
          </w:p>
          <w:p>
            <w:pPr>
              <w:spacing w:line="360" w:lineRule="auto"/>
              <w:ind w:firstLine="480" w:firstLineChars="200"/>
              <w:rPr>
                <w:bCs/>
                <w:color w:val="auto"/>
                <w:sz w:val="24"/>
                <w:highlight w:val="none"/>
              </w:rPr>
            </w:pPr>
            <w:r>
              <w:rPr>
                <w:rFonts w:hint="eastAsia"/>
                <w:bCs/>
                <w:color w:val="auto"/>
                <w:sz w:val="24"/>
                <w:highlight w:val="none"/>
              </w:rPr>
              <w:t>营运期项目固体废物处置情况见下表。</w:t>
            </w:r>
          </w:p>
          <w:p>
            <w:pPr>
              <w:snapToGrid w:val="0"/>
              <w:spacing w:line="360" w:lineRule="auto"/>
              <w:jc w:val="center"/>
              <w:rPr>
                <w:b/>
                <w:color w:val="auto"/>
                <w:sz w:val="24"/>
                <w:highlight w:val="none"/>
              </w:rPr>
            </w:pPr>
            <w:r>
              <w:rPr>
                <w:rFonts w:hint="eastAsia"/>
                <w:b/>
                <w:color w:val="auto"/>
                <w:sz w:val="24"/>
                <w:highlight w:val="none"/>
              </w:rPr>
              <w:t>表9-1  项目固体废弃物产生及处理情况一览表</w:t>
            </w:r>
          </w:p>
          <w:tbl>
            <w:tblPr>
              <w:tblStyle w:val="29"/>
              <w:tblW w:w="896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015"/>
              <w:gridCol w:w="2977"/>
              <w:gridCol w:w="42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738" w:type="dxa"/>
                  <w:gridSpan w:val="3"/>
                  <w:vAlign w:val="center"/>
                </w:tcPr>
                <w:p>
                  <w:pPr>
                    <w:widowControl/>
                    <w:jc w:val="center"/>
                    <w:rPr>
                      <w:color w:val="auto"/>
                      <w:kern w:val="0"/>
                      <w:szCs w:val="21"/>
                      <w:highlight w:val="none"/>
                    </w:rPr>
                  </w:pPr>
                  <w:r>
                    <w:rPr>
                      <w:rFonts w:hint="eastAsia"/>
                      <w:color w:val="auto"/>
                      <w:kern w:val="0"/>
                      <w:szCs w:val="21"/>
                      <w:highlight w:val="none"/>
                    </w:rPr>
                    <w:t>固体废弃物</w:t>
                  </w:r>
                </w:p>
              </w:tc>
              <w:tc>
                <w:tcPr>
                  <w:tcW w:w="4223" w:type="dxa"/>
                  <w:vMerge w:val="restart"/>
                  <w:vAlign w:val="center"/>
                </w:tcPr>
                <w:p>
                  <w:pPr>
                    <w:widowControl/>
                    <w:jc w:val="center"/>
                    <w:rPr>
                      <w:color w:val="auto"/>
                      <w:kern w:val="0"/>
                      <w:szCs w:val="21"/>
                      <w:highlight w:val="none"/>
                    </w:rPr>
                  </w:pPr>
                  <w:r>
                    <w:rPr>
                      <w:rFonts w:hint="eastAsia"/>
                      <w:color w:val="auto"/>
                      <w:kern w:val="0"/>
                      <w:szCs w:val="21"/>
                      <w:highlight w:val="none"/>
                    </w:rPr>
                    <w:t>处理处置措施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61" w:type="dxa"/>
                  <w:gridSpan w:val="2"/>
                  <w:vAlign w:val="center"/>
                </w:tcPr>
                <w:p>
                  <w:pPr>
                    <w:widowControl/>
                    <w:jc w:val="center"/>
                    <w:rPr>
                      <w:color w:val="auto"/>
                      <w:kern w:val="0"/>
                      <w:szCs w:val="21"/>
                      <w:highlight w:val="none"/>
                    </w:rPr>
                  </w:pPr>
                  <w:r>
                    <w:rPr>
                      <w:rFonts w:hint="eastAsia"/>
                      <w:color w:val="auto"/>
                      <w:kern w:val="0"/>
                      <w:szCs w:val="21"/>
                      <w:highlight w:val="none"/>
                    </w:rPr>
                    <w:t>性质</w:t>
                  </w:r>
                </w:p>
              </w:tc>
              <w:tc>
                <w:tcPr>
                  <w:tcW w:w="2977" w:type="dxa"/>
                  <w:vAlign w:val="center"/>
                </w:tcPr>
                <w:p>
                  <w:pPr>
                    <w:widowControl/>
                    <w:jc w:val="center"/>
                    <w:rPr>
                      <w:color w:val="auto"/>
                      <w:kern w:val="0"/>
                      <w:szCs w:val="21"/>
                      <w:highlight w:val="none"/>
                    </w:rPr>
                  </w:pPr>
                  <w:r>
                    <w:rPr>
                      <w:rFonts w:hint="eastAsia"/>
                      <w:color w:val="auto"/>
                      <w:kern w:val="0"/>
                      <w:szCs w:val="21"/>
                      <w:highlight w:val="none"/>
                    </w:rPr>
                    <w:t>名称</w:t>
                  </w:r>
                </w:p>
              </w:tc>
              <w:tc>
                <w:tcPr>
                  <w:tcW w:w="4223" w:type="dxa"/>
                  <w:vMerge w:val="continue"/>
                  <w:vAlign w:val="center"/>
                </w:tcPr>
                <w:p>
                  <w:pPr>
                    <w:widowControl/>
                    <w:jc w:val="center"/>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6" w:type="dxa"/>
                  <w:vMerge w:val="restart"/>
                  <w:vAlign w:val="center"/>
                </w:tcPr>
                <w:p>
                  <w:pPr>
                    <w:widowControl/>
                    <w:jc w:val="center"/>
                    <w:rPr>
                      <w:color w:val="auto"/>
                      <w:kern w:val="0"/>
                      <w:szCs w:val="21"/>
                      <w:highlight w:val="none"/>
                    </w:rPr>
                  </w:pPr>
                  <w:r>
                    <w:rPr>
                      <w:rFonts w:hint="eastAsia"/>
                      <w:color w:val="auto"/>
                      <w:kern w:val="0"/>
                      <w:szCs w:val="21"/>
                      <w:highlight w:val="none"/>
                    </w:rPr>
                    <w:t>危险固废</w:t>
                  </w:r>
                </w:p>
              </w:tc>
              <w:tc>
                <w:tcPr>
                  <w:tcW w:w="1015" w:type="dxa"/>
                  <w:vAlign w:val="center"/>
                </w:tcPr>
                <w:p>
                  <w:pPr>
                    <w:widowControl/>
                    <w:jc w:val="center"/>
                    <w:rPr>
                      <w:color w:val="auto"/>
                      <w:kern w:val="0"/>
                      <w:szCs w:val="21"/>
                      <w:highlight w:val="none"/>
                    </w:rPr>
                  </w:pPr>
                  <w:r>
                    <w:rPr>
                      <w:rFonts w:hint="eastAsia"/>
                      <w:color w:val="auto"/>
                      <w:kern w:val="0"/>
                      <w:szCs w:val="21"/>
                      <w:highlight w:val="none"/>
                    </w:rPr>
                    <w:t>HW17类</w:t>
                  </w:r>
                </w:p>
              </w:tc>
              <w:tc>
                <w:tcPr>
                  <w:tcW w:w="2977" w:type="dxa"/>
                  <w:vAlign w:val="center"/>
                </w:tcPr>
                <w:p>
                  <w:pPr>
                    <w:widowControl/>
                    <w:jc w:val="left"/>
                    <w:rPr>
                      <w:color w:val="auto"/>
                      <w:kern w:val="0"/>
                      <w:szCs w:val="21"/>
                      <w:highlight w:val="none"/>
                    </w:rPr>
                  </w:pPr>
                  <w:r>
                    <w:rPr>
                      <w:rFonts w:hint="eastAsia"/>
                      <w:color w:val="auto"/>
                      <w:kern w:val="0"/>
                      <w:szCs w:val="21"/>
                      <w:highlight w:val="none"/>
                    </w:rPr>
                    <w:t>①电化学去毛刺废渣</w:t>
                  </w:r>
                </w:p>
                <w:p>
                  <w:pPr>
                    <w:widowControl/>
                    <w:jc w:val="left"/>
                    <w:rPr>
                      <w:color w:val="auto"/>
                      <w:kern w:val="0"/>
                      <w:szCs w:val="21"/>
                      <w:highlight w:val="none"/>
                    </w:rPr>
                  </w:pPr>
                  <w:r>
                    <w:rPr>
                      <w:rFonts w:hint="eastAsia"/>
                      <w:color w:val="auto"/>
                      <w:kern w:val="0"/>
                      <w:szCs w:val="21"/>
                      <w:highlight w:val="none"/>
                    </w:rPr>
                    <w:t>②工件清洗废液</w:t>
                  </w:r>
                </w:p>
              </w:tc>
              <w:tc>
                <w:tcPr>
                  <w:tcW w:w="4223" w:type="dxa"/>
                  <w:vMerge w:val="restart"/>
                  <w:vAlign w:val="center"/>
                </w:tcPr>
                <w:p>
                  <w:pPr>
                    <w:widowControl/>
                    <w:rPr>
                      <w:color w:val="auto"/>
                      <w:szCs w:val="21"/>
                      <w:highlight w:val="none"/>
                    </w:rPr>
                  </w:pPr>
                  <w:r>
                    <w:rPr>
                      <w:rFonts w:hint="eastAsia"/>
                      <w:color w:val="auto"/>
                      <w:szCs w:val="21"/>
                      <w:highlight w:val="none"/>
                    </w:rPr>
                    <w:t>①分类收集，用专用容器盛放</w:t>
                  </w:r>
                </w:p>
                <w:p>
                  <w:pPr>
                    <w:widowControl/>
                    <w:rPr>
                      <w:color w:val="auto"/>
                      <w:szCs w:val="21"/>
                      <w:highlight w:val="none"/>
                    </w:rPr>
                  </w:pPr>
                  <w:r>
                    <w:rPr>
                      <w:rFonts w:hint="eastAsia"/>
                      <w:color w:val="auto"/>
                      <w:szCs w:val="21"/>
                      <w:highlight w:val="none"/>
                    </w:rPr>
                    <w:t>②暂存于废品库中的危险固废区</w:t>
                  </w:r>
                  <w:r>
                    <w:rPr>
                      <w:rFonts w:hint="eastAsia"/>
                      <w:bCs/>
                      <w:color w:val="auto"/>
                      <w:kern w:val="0"/>
                      <w:szCs w:val="21"/>
                      <w:highlight w:val="none"/>
                      <w:lang w:val="zh-CN"/>
                    </w:rPr>
                    <w:t>（建筑面积1200m</w:t>
                  </w:r>
                  <w:r>
                    <w:rPr>
                      <w:rFonts w:hint="eastAsia"/>
                      <w:bCs/>
                      <w:color w:val="auto"/>
                      <w:kern w:val="0"/>
                      <w:szCs w:val="21"/>
                      <w:highlight w:val="none"/>
                      <w:vertAlign w:val="superscript"/>
                      <w:lang w:val="zh-CN"/>
                    </w:rPr>
                    <w:t>2</w:t>
                  </w:r>
                  <w:r>
                    <w:rPr>
                      <w:rFonts w:hint="eastAsia"/>
                      <w:bCs/>
                      <w:color w:val="auto"/>
                      <w:kern w:val="0"/>
                      <w:szCs w:val="21"/>
                      <w:highlight w:val="none"/>
                      <w:lang w:val="zh-CN"/>
                    </w:rPr>
                    <w:t>），暂存区按照</w:t>
                  </w:r>
                  <w:r>
                    <w:rPr>
                      <w:rFonts w:hint="eastAsia"/>
                      <w:color w:val="auto"/>
                      <w:szCs w:val="21"/>
                      <w:highlight w:val="none"/>
                    </w:rPr>
                    <w:t>《危险废物贮存污染控制标准》（GB18597-2001）修建</w:t>
                  </w:r>
                </w:p>
                <w:p>
                  <w:pPr>
                    <w:widowControl/>
                    <w:rPr>
                      <w:color w:val="auto"/>
                      <w:szCs w:val="21"/>
                      <w:highlight w:val="none"/>
                    </w:rPr>
                  </w:pPr>
                  <w:r>
                    <w:rPr>
                      <w:rFonts w:hint="eastAsia"/>
                      <w:bCs/>
                      <w:color w:val="auto"/>
                      <w:kern w:val="0"/>
                      <w:szCs w:val="21"/>
                      <w:highlight w:val="none"/>
                      <w:lang w:val="zh-CN"/>
                    </w:rPr>
                    <w:t>③委托有相应处理资质的单位定期运输、处置，并按照《危险废物转移联单管理办法》做好危险废物转移台账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6" w:type="dxa"/>
                  <w:vMerge w:val="continue"/>
                  <w:vAlign w:val="center"/>
                </w:tcPr>
                <w:p>
                  <w:pPr>
                    <w:widowControl/>
                    <w:jc w:val="center"/>
                    <w:rPr>
                      <w:color w:val="auto"/>
                      <w:kern w:val="0"/>
                      <w:szCs w:val="21"/>
                      <w:highlight w:val="none"/>
                    </w:rPr>
                  </w:pPr>
                </w:p>
              </w:tc>
              <w:tc>
                <w:tcPr>
                  <w:tcW w:w="1015" w:type="dxa"/>
                  <w:vAlign w:val="center"/>
                </w:tcPr>
                <w:p>
                  <w:pPr>
                    <w:widowControl/>
                    <w:jc w:val="center"/>
                    <w:rPr>
                      <w:color w:val="auto"/>
                      <w:kern w:val="0"/>
                      <w:szCs w:val="21"/>
                      <w:highlight w:val="none"/>
                    </w:rPr>
                  </w:pPr>
                  <w:r>
                    <w:rPr>
                      <w:rFonts w:hint="eastAsia"/>
                      <w:color w:val="auto"/>
                      <w:kern w:val="0"/>
                      <w:szCs w:val="21"/>
                      <w:highlight w:val="none"/>
                    </w:rPr>
                    <w:t>HW09类</w:t>
                  </w:r>
                </w:p>
              </w:tc>
              <w:tc>
                <w:tcPr>
                  <w:tcW w:w="2977" w:type="dxa"/>
                  <w:vAlign w:val="center"/>
                </w:tcPr>
                <w:p>
                  <w:pPr>
                    <w:widowControl/>
                    <w:jc w:val="left"/>
                    <w:rPr>
                      <w:color w:val="auto"/>
                      <w:kern w:val="0"/>
                      <w:szCs w:val="21"/>
                      <w:highlight w:val="none"/>
                    </w:rPr>
                  </w:pPr>
                  <w:r>
                    <w:rPr>
                      <w:rFonts w:hint="eastAsia"/>
                      <w:color w:val="auto"/>
                      <w:kern w:val="0"/>
                      <w:szCs w:val="21"/>
                      <w:highlight w:val="none"/>
                    </w:rPr>
                    <w:t>废乳化液</w:t>
                  </w:r>
                </w:p>
              </w:tc>
              <w:tc>
                <w:tcPr>
                  <w:tcW w:w="4223" w:type="dxa"/>
                  <w:vMerge w:val="continue"/>
                  <w:vAlign w:val="center"/>
                </w:tcPr>
                <w:p>
                  <w:pPr>
                    <w:widowControl/>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46" w:type="dxa"/>
                  <w:vMerge w:val="continue"/>
                  <w:vAlign w:val="center"/>
                </w:tcPr>
                <w:p>
                  <w:pPr>
                    <w:widowControl/>
                    <w:jc w:val="center"/>
                    <w:rPr>
                      <w:color w:val="auto"/>
                      <w:kern w:val="0"/>
                      <w:szCs w:val="21"/>
                      <w:highlight w:val="none"/>
                    </w:rPr>
                  </w:pPr>
                </w:p>
              </w:tc>
              <w:tc>
                <w:tcPr>
                  <w:tcW w:w="1015" w:type="dxa"/>
                  <w:vAlign w:val="center"/>
                </w:tcPr>
                <w:p>
                  <w:pPr>
                    <w:widowControl/>
                    <w:jc w:val="center"/>
                    <w:rPr>
                      <w:color w:val="auto"/>
                      <w:kern w:val="0"/>
                      <w:szCs w:val="21"/>
                      <w:highlight w:val="none"/>
                    </w:rPr>
                  </w:pPr>
                  <w:r>
                    <w:rPr>
                      <w:rFonts w:hint="eastAsia"/>
                      <w:color w:val="auto"/>
                      <w:kern w:val="0"/>
                      <w:szCs w:val="21"/>
                      <w:highlight w:val="none"/>
                    </w:rPr>
                    <w:t>HW08类</w:t>
                  </w:r>
                </w:p>
              </w:tc>
              <w:tc>
                <w:tcPr>
                  <w:tcW w:w="2977" w:type="dxa"/>
                  <w:vAlign w:val="center"/>
                </w:tcPr>
                <w:p>
                  <w:pPr>
                    <w:widowControl/>
                    <w:jc w:val="left"/>
                    <w:rPr>
                      <w:color w:val="auto"/>
                      <w:kern w:val="0"/>
                      <w:szCs w:val="21"/>
                      <w:highlight w:val="none"/>
                    </w:rPr>
                  </w:pPr>
                  <w:r>
                    <w:rPr>
                      <w:rFonts w:hint="eastAsia"/>
                      <w:color w:val="auto"/>
                      <w:kern w:val="0"/>
                      <w:szCs w:val="21"/>
                      <w:highlight w:val="none"/>
                    </w:rPr>
                    <w:t>①设备定期更换的废油脂</w:t>
                  </w:r>
                </w:p>
                <w:p>
                  <w:pPr>
                    <w:widowControl/>
                    <w:jc w:val="left"/>
                    <w:rPr>
                      <w:color w:val="auto"/>
                      <w:kern w:val="0"/>
                      <w:szCs w:val="21"/>
                      <w:highlight w:val="none"/>
                    </w:rPr>
                  </w:pPr>
                  <w:r>
                    <w:rPr>
                      <w:rFonts w:hint="eastAsia"/>
                      <w:color w:val="auto"/>
                      <w:kern w:val="0"/>
                      <w:szCs w:val="21"/>
                      <w:highlight w:val="none"/>
                    </w:rPr>
                    <w:t>②油雾净化器收集的废淬火油</w:t>
                  </w:r>
                </w:p>
              </w:tc>
              <w:tc>
                <w:tcPr>
                  <w:tcW w:w="4223" w:type="dxa"/>
                  <w:vMerge w:val="continue"/>
                  <w:vAlign w:val="center"/>
                </w:tcPr>
                <w:p>
                  <w:pPr>
                    <w:widowControl/>
                    <w:rPr>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761" w:type="dxa"/>
                  <w:gridSpan w:val="2"/>
                  <w:vAlign w:val="center"/>
                </w:tcPr>
                <w:p>
                  <w:pPr>
                    <w:widowControl/>
                    <w:jc w:val="center"/>
                    <w:rPr>
                      <w:color w:val="auto"/>
                      <w:kern w:val="0"/>
                      <w:szCs w:val="21"/>
                      <w:highlight w:val="none"/>
                    </w:rPr>
                  </w:pPr>
                  <w:r>
                    <w:rPr>
                      <w:rFonts w:hint="eastAsia"/>
                      <w:color w:val="auto"/>
                      <w:kern w:val="0"/>
                      <w:szCs w:val="21"/>
                      <w:highlight w:val="none"/>
                    </w:rPr>
                    <w:t>一般工业固废</w:t>
                  </w:r>
                </w:p>
              </w:tc>
              <w:tc>
                <w:tcPr>
                  <w:tcW w:w="2977" w:type="dxa"/>
                  <w:vAlign w:val="center"/>
                </w:tcPr>
                <w:p>
                  <w:pPr>
                    <w:widowControl/>
                    <w:jc w:val="left"/>
                    <w:rPr>
                      <w:color w:val="auto"/>
                      <w:kern w:val="0"/>
                      <w:szCs w:val="21"/>
                      <w:highlight w:val="none"/>
                    </w:rPr>
                  </w:pPr>
                  <w:r>
                    <w:rPr>
                      <w:rFonts w:hint="eastAsia"/>
                      <w:color w:val="auto"/>
                      <w:kern w:val="0"/>
                      <w:szCs w:val="21"/>
                      <w:highlight w:val="none"/>
                    </w:rPr>
                    <w:t>①钢铁及塑料边角废料</w:t>
                  </w:r>
                </w:p>
                <w:p>
                  <w:pPr>
                    <w:widowControl/>
                    <w:jc w:val="left"/>
                    <w:rPr>
                      <w:color w:val="auto"/>
                      <w:kern w:val="0"/>
                      <w:szCs w:val="21"/>
                      <w:highlight w:val="none"/>
                    </w:rPr>
                  </w:pPr>
                  <w:r>
                    <w:rPr>
                      <w:rFonts w:hint="eastAsia"/>
                      <w:color w:val="auto"/>
                      <w:kern w:val="0"/>
                      <w:szCs w:val="21"/>
                      <w:highlight w:val="none"/>
                    </w:rPr>
                    <w:t>②残次品</w:t>
                  </w:r>
                </w:p>
              </w:tc>
              <w:tc>
                <w:tcPr>
                  <w:tcW w:w="4223" w:type="dxa"/>
                  <w:vAlign w:val="center"/>
                </w:tcPr>
                <w:p>
                  <w:pPr>
                    <w:widowControl/>
                    <w:rPr>
                      <w:color w:val="auto"/>
                      <w:szCs w:val="21"/>
                      <w:highlight w:val="none"/>
                    </w:rPr>
                  </w:pPr>
                  <w:r>
                    <w:rPr>
                      <w:rFonts w:hint="eastAsia"/>
                      <w:color w:val="auto"/>
                      <w:szCs w:val="21"/>
                      <w:highlight w:val="none"/>
                    </w:rPr>
                    <w:t>①分类收集，用专用容器盛放</w:t>
                  </w:r>
                </w:p>
                <w:p>
                  <w:pPr>
                    <w:widowControl/>
                    <w:rPr>
                      <w:bCs/>
                      <w:color w:val="auto"/>
                      <w:kern w:val="0"/>
                      <w:szCs w:val="21"/>
                      <w:highlight w:val="none"/>
                      <w:lang w:val="zh-CN"/>
                    </w:rPr>
                  </w:pPr>
                  <w:r>
                    <w:rPr>
                      <w:rFonts w:hint="eastAsia"/>
                      <w:color w:val="auto"/>
                      <w:szCs w:val="21"/>
                      <w:highlight w:val="none"/>
                    </w:rPr>
                    <w:t>②暂存于废品库中的一般固废区</w:t>
                  </w:r>
                  <w:r>
                    <w:rPr>
                      <w:rFonts w:hint="eastAsia"/>
                      <w:bCs/>
                      <w:color w:val="auto"/>
                      <w:kern w:val="0"/>
                      <w:szCs w:val="21"/>
                      <w:highlight w:val="none"/>
                      <w:lang w:val="zh-CN"/>
                    </w:rPr>
                    <w:t>（建筑面积230m</w:t>
                  </w:r>
                  <w:r>
                    <w:rPr>
                      <w:rFonts w:hint="eastAsia"/>
                      <w:bCs/>
                      <w:color w:val="auto"/>
                      <w:kern w:val="0"/>
                      <w:szCs w:val="21"/>
                      <w:highlight w:val="none"/>
                      <w:vertAlign w:val="superscript"/>
                      <w:lang w:val="zh-CN"/>
                    </w:rPr>
                    <w:t>2</w:t>
                  </w:r>
                  <w:r>
                    <w:rPr>
                      <w:rFonts w:hint="eastAsia"/>
                      <w:bCs/>
                      <w:color w:val="auto"/>
                      <w:kern w:val="0"/>
                      <w:szCs w:val="21"/>
                      <w:highlight w:val="none"/>
                      <w:lang w:val="zh-CN"/>
                    </w:rPr>
                    <w:t>），暂存区按照</w:t>
                  </w:r>
                  <w:r>
                    <w:rPr>
                      <w:color w:val="auto"/>
                      <w:szCs w:val="21"/>
                      <w:highlight w:val="none"/>
                    </w:rPr>
                    <w:t>《一般工业固体废物储贮存、处置场污染控制标准》（GB18599-2001）</w:t>
                  </w:r>
                  <w:r>
                    <w:rPr>
                      <w:rFonts w:hint="eastAsia"/>
                      <w:color w:val="auto"/>
                      <w:szCs w:val="21"/>
                      <w:highlight w:val="none"/>
                    </w:rPr>
                    <w:t>修建</w:t>
                  </w:r>
                </w:p>
                <w:p>
                  <w:pPr>
                    <w:widowControl/>
                    <w:rPr>
                      <w:color w:val="auto"/>
                      <w:szCs w:val="21"/>
                      <w:highlight w:val="none"/>
                    </w:rPr>
                  </w:pPr>
                  <w:r>
                    <w:rPr>
                      <w:rFonts w:hint="eastAsia"/>
                      <w:bCs/>
                      <w:color w:val="auto"/>
                      <w:kern w:val="0"/>
                      <w:szCs w:val="21"/>
                      <w:highlight w:val="none"/>
                      <w:lang w:val="zh-CN"/>
                    </w:rPr>
                    <w:t>③定期外售废品回收站回收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54" w:hRule="atLeast"/>
                <w:jc w:val="center"/>
              </w:trPr>
              <w:tc>
                <w:tcPr>
                  <w:tcW w:w="1761" w:type="dxa"/>
                  <w:gridSpan w:val="2"/>
                  <w:vAlign w:val="center"/>
                </w:tcPr>
                <w:p>
                  <w:pPr>
                    <w:widowControl/>
                    <w:jc w:val="center"/>
                    <w:rPr>
                      <w:color w:val="auto"/>
                      <w:kern w:val="0"/>
                      <w:szCs w:val="21"/>
                      <w:highlight w:val="none"/>
                    </w:rPr>
                  </w:pPr>
                  <w:r>
                    <w:rPr>
                      <w:rFonts w:hint="eastAsia"/>
                      <w:color w:val="auto"/>
                      <w:kern w:val="0"/>
                      <w:szCs w:val="21"/>
                      <w:highlight w:val="none"/>
                    </w:rPr>
                    <w:t>生活垃圾</w:t>
                  </w:r>
                </w:p>
              </w:tc>
              <w:tc>
                <w:tcPr>
                  <w:tcW w:w="2977" w:type="dxa"/>
                  <w:vAlign w:val="center"/>
                </w:tcPr>
                <w:p>
                  <w:pPr>
                    <w:widowControl/>
                    <w:jc w:val="left"/>
                    <w:rPr>
                      <w:color w:val="auto"/>
                      <w:kern w:val="0"/>
                      <w:szCs w:val="21"/>
                      <w:highlight w:val="none"/>
                    </w:rPr>
                  </w:pPr>
                  <w:r>
                    <w:rPr>
                      <w:rFonts w:hint="eastAsia"/>
                      <w:color w:val="auto"/>
                      <w:kern w:val="0"/>
                      <w:szCs w:val="21"/>
                      <w:highlight w:val="none"/>
                    </w:rPr>
                    <w:t>①普通生活垃圾</w:t>
                  </w:r>
                </w:p>
                <w:p>
                  <w:pPr>
                    <w:widowControl/>
                    <w:jc w:val="left"/>
                    <w:rPr>
                      <w:color w:val="auto"/>
                      <w:kern w:val="0"/>
                      <w:szCs w:val="21"/>
                      <w:highlight w:val="none"/>
                    </w:rPr>
                  </w:pPr>
                  <w:r>
                    <w:rPr>
                      <w:rFonts w:hint="eastAsia"/>
                      <w:color w:val="auto"/>
                      <w:kern w:val="0"/>
                      <w:szCs w:val="21"/>
                      <w:highlight w:val="none"/>
                    </w:rPr>
                    <w:t>②隔油池等收集的废油脂</w:t>
                  </w:r>
                </w:p>
              </w:tc>
              <w:tc>
                <w:tcPr>
                  <w:tcW w:w="4223" w:type="dxa"/>
                  <w:vAlign w:val="center"/>
                </w:tcPr>
                <w:p>
                  <w:pPr>
                    <w:widowControl/>
                    <w:rPr>
                      <w:color w:val="auto"/>
                      <w:szCs w:val="21"/>
                      <w:highlight w:val="none"/>
                    </w:rPr>
                  </w:pPr>
                  <w:r>
                    <w:rPr>
                      <w:rFonts w:hint="eastAsia"/>
                      <w:color w:val="auto"/>
                      <w:szCs w:val="21"/>
                      <w:highlight w:val="none"/>
                    </w:rPr>
                    <w:t>①分类收集，用专用容器盛放</w:t>
                  </w:r>
                </w:p>
                <w:p>
                  <w:pPr>
                    <w:widowControl/>
                    <w:rPr>
                      <w:color w:val="auto"/>
                      <w:szCs w:val="21"/>
                      <w:highlight w:val="none"/>
                    </w:rPr>
                  </w:pPr>
                  <w:r>
                    <w:rPr>
                      <w:rFonts w:hint="eastAsia"/>
                      <w:color w:val="auto"/>
                      <w:szCs w:val="21"/>
                      <w:highlight w:val="none"/>
                    </w:rPr>
                    <w:t>②普通生活垃圾交由当地环卫部门处置，隔油池废油脂委托湘潭市有资质的单位处置</w:t>
                  </w:r>
                </w:p>
              </w:tc>
            </w:tr>
          </w:tbl>
          <w:p>
            <w:pPr>
              <w:pStyle w:val="7"/>
              <w:spacing w:after="0" w:line="460" w:lineRule="exact"/>
              <w:ind w:firstLine="480" w:firstLineChars="200"/>
              <w:rPr>
                <w:rFonts w:hAnsi="宋体"/>
                <w:color w:val="auto"/>
                <w:sz w:val="24"/>
                <w:highlight w:val="none"/>
              </w:rPr>
            </w:pPr>
            <w:r>
              <w:rPr>
                <w:rFonts w:hAnsi="宋体"/>
                <w:color w:val="auto"/>
                <w:sz w:val="24"/>
                <w:highlight w:val="none"/>
              </w:rPr>
              <w:t>通过以上措施，本项目运行过程中产生的固体废物均可得到妥善处理处置，不会对外环境造成明显不利影响。</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 xml:space="preserve">9.1.4 </w:t>
            </w:r>
            <w:r>
              <w:rPr>
                <w:b/>
                <w:color w:val="auto"/>
                <w:spacing w:val="4"/>
                <w:sz w:val="24"/>
                <w:szCs w:val="24"/>
                <w:highlight w:val="none"/>
              </w:rPr>
              <w:t>总量控制指标</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本项目排放的废气主要有热处理废气（主要污染物为非甲烷总烃、氮氧化物）、清洗废气及注塑废气（主要污染物为挥发性有机化合物）、职工食堂油烟废气；排放的废水主要为生产废水及生活废水（主要污染物为化学需氧量、氨氮、石油类、动植物油等）。根据国家及地方总量指标管理要求，结合本项目污染物排放情况分析，本项目需对氮氧化物、化学需氧量、氨氮购买污染物总量指标。</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本项目滚子摇臂、可变滚子摇臂、张紧器热处理废气热处理高温加热炉废气燃烧后经15m排气筒（2#）引至楼顶排放，排放的废气中氮氧化物含量为0.026吨/年；轮毂轴承热处理废气热处理高温加热炉废气燃烧后经15m排气筒（3#）引至楼顶排放，排放的废气中氮氧化物含量为0.017吨/年。</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本项目废水经厂区污水处理设施预处理后排入湘潭市九华污水处理厂处理达标后最终汇入湘江。根据核算，本项目排入湘江的废水中</w:t>
            </w:r>
            <w:r>
              <w:rPr>
                <w:color w:val="auto"/>
                <w:spacing w:val="6"/>
                <w:sz w:val="24"/>
                <w:highlight w:val="none"/>
              </w:rPr>
              <w:t>COD</w:t>
            </w:r>
            <w:r>
              <w:rPr>
                <w:rFonts w:hint="eastAsia"/>
                <w:color w:val="auto"/>
                <w:spacing w:val="6"/>
                <w:sz w:val="24"/>
                <w:highlight w:val="none"/>
              </w:rPr>
              <w:t>化学需氧量含量为0.943吨，氨氮含量为0.094吨。</w:t>
            </w:r>
          </w:p>
          <w:p>
            <w:pPr>
              <w:spacing w:line="360" w:lineRule="auto"/>
              <w:ind w:firstLine="504" w:firstLineChars="200"/>
              <w:rPr>
                <w:rFonts w:hint="eastAsia"/>
                <w:color w:val="auto"/>
                <w:spacing w:val="6"/>
                <w:sz w:val="24"/>
                <w:highlight w:val="none"/>
              </w:rPr>
            </w:pPr>
            <w:r>
              <w:rPr>
                <w:rFonts w:hint="eastAsia"/>
                <w:color w:val="auto"/>
                <w:spacing w:val="6"/>
                <w:sz w:val="24"/>
                <w:highlight w:val="none"/>
              </w:rPr>
              <w:t>环评建议按照上述核算量申请排污权总量，即：氮氧化物0.043吨/年，化学需氧量0.943吨/年，氨氮</w:t>
            </w:r>
            <w:r>
              <w:rPr>
                <w:color w:val="auto"/>
                <w:spacing w:val="6"/>
                <w:sz w:val="24"/>
                <w:highlight w:val="none"/>
              </w:rPr>
              <w:t>0.0</w:t>
            </w:r>
            <w:r>
              <w:rPr>
                <w:rFonts w:hint="eastAsia"/>
                <w:color w:val="auto"/>
                <w:spacing w:val="6"/>
                <w:sz w:val="24"/>
                <w:highlight w:val="none"/>
              </w:rPr>
              <w:t>94吨/年。其中氮氧化物排污权总量自湘潭市内部平衡，化学需氧量、氨氮</w:t>
            </w:r>
            <w:r>
              <w:rPr>
                <w:color w:val="auto"/>
                <w:sz w:val="24"/>
                <w:highlight w:val="none"/>
              </w:rPr>
              <w:t>总量控制指标纳入</w:t>
            </w:r>
            <w:r>
              <w:rPr>
                <w:rFonts w:hint="eastAsia"/>
                <w:bCs/>
                <w:color w:val="auto"/>
                <w:sz w:val="24"/>
                <w:highlight w:val="none"/>
              </w:rPr>
              <w:t>湘潭市九华</w:t>
            </w:r>
            <w:r>
              <w:rPr>
                <w:bCs/>
                <w:color w:val="auto"/>
                <w:sz w:val="24"/>
                <w:highlight w:val="none"/>
              </w:rPr>
              <w:t>污水处理厂进行控制。</w:t>
            </w:r>
          </w:p>
          <w:p>
            <w:pPr>
              <w:pStyle w:val="9"/>
              <w:spacing w:line="440" w:lineRule="exact"/>
              <w:ind w:firstLine="0" w:firstLineChars="0"/>
              <w:jc w:val="left"/>
              <w:rPr>
                <w:b/>
                <w:color w:val="auto"/>
                <w:spacing w:val="4"/>
                <w:sz w:val="24"/>
                <w:szCs w:val="24"/>
                <w:highlight w:val="none"/>
              </w:rPr>
            </w:pPr>
            <w:r>
              <w:rPr>
                <w:rFonts w:hint="eastAsia"/>
                <w:b/>
                <w:color w:val="auto"/>
                <w:spacing w:val="4"/>
                <w:sz w:val="24"/>
                <w:szCs w:val="24"/>
                <w:highlight w:val="none"/>
              </w:rPr>
              <w:t>9.1.5 综合结论</w:t>
            </w:r>
          </w:p>
          <w:p>
            <w:pPr>
              <w:spacing w:line="360" w:lineRule="auto"/>
              <w:ind w:firstLine="482" w:firstLineChars="200"/>
              <w:rPr>
                <w:b/>
                <w:bCs/>
                <w:color w:val="auto"/>
                <w:sz w:val="24"/>
                <w:highlight w:val="none"/>
              </w:rPr>
            </w:pPr>
            <w:r>
              <w:rPr>
                <w:rFonts w:hint="eastAsia"/>
                <w:b/>
                <w:bCs/>
                <w:color w:val="auto"/>
                <w:sz w:val="24"/>
                <w:highlight w:val="none"/>
              </w:rPr>
              <w:t>本项目符合国家产业政策，选址合理。项目实施过程中不可避免会对周围环境带来一定不利影响，但是在严格落实本环评提出的各项污染防治措施后，项目运营对周围的环境影响可控，从环境保护角度出发，项目是可行的。</w:t>
            </w:r>
          </w:p>
          <w:p>
            <w:pPr>
              <w:spacing w:afterLines="50" w:line="460" w:lineRule="exact"/>
              <w:jc w:val="left"/>
              <w:rPr>
                <w:rFonts w:ascii="宋体" w:hAnsi="宋体"/>
                <w:b/>
                <w:bCs/>
                <w:color w:val="auto"/>
                <w:spacing w:val="-8"/>
                <w:sz w:val="28"/>
                <w:szCs w:val="28"/>
                <w:highlight w:val="none"/>
              </w:rPr>
            </w:pPr>
            <w:r>
              <w:rPr>
                <w:rFonts w:hint="eastAsia" w:ascii="宋体" w:hAnsi="宋体"/>
                <w:b/>
                <w:bCs/>
                <w:color w:val="auto"/>
                <w:spacing w:val="-8"/>
                <w:sz w:val="28"/>
                <w:szCs w:val="28"/>
                <w:highlight w:val="none"/>
              </w:rPr>
              <w:t>9.2 建议</w:t>
            </w:r>
          </w:p>
          <w:p>
            <w:pPr>
              <w:spacing w:line="360" w:lineRule="auto"/>
              <w:ind w:firstLine="360" w:firstLineChars="150"/>
              <w:rPr>
                <w:rFonts w:hAnsi="宋体"/>
                <w:color w:val="auto"/>
                <w:sz w:val="24"/>
                <w:highlight w:val="none"/>
              </w:rPr>
            </w:pPr>
            <w:r>
              <w:rPr>
                <w:rFonts w:hAnsi="宋体"/>
                <w:color w:val="auto"/>
                <w:sz w:val="24"/>
                <w:highlight w:val="none"/>
              </w:rPr>
              <w:t>（</w:t>
            </w:r>
            <w:r>
              <w:rPr>
                <w:rFonts w:hint="eastAsia" w:hAnsi="宋体"/>
                <w:color w:val="auto"/>
                <w:sz w:val="24"/>
                <w:highlight w:val="none"/>
              </w:rPr>
              <w:t>1</w:t>
            </w:r>
            <w:r>
              <w:rPr>
                <w:rFonts w:hAnsi="宋体"/>
                <w:color w:val="auto"/>
                <w:sz w:val="24"/>
                <w:highlight w:val="none"/>
              </w:rPr>
              <w:t>）</w:t>
            </w:r>
            <w:r>
              <w:rPr>
                <w:rFonts w:hint="eastAsia" w:hAnsi="宋体"/>
                <w:color w:val="auto"/>
                <w:sz w:val="24"/>
                <w:highlight w:val="none"/>
              </w:rPr>
              <w:t>项目生产工艺、规模、主要原辅材料等发生重大变更时，项目应将变更内容报备环境局，并根据变更情况编制变更方案或重新编制环境影响评价报告</w:t>
            </w:r>
            <w:r>
              <w:rPr>
                <w:rFonts w:hAnsi="宋体"/>
                <w:color w:val="auto"/>
                <w:sz w:val="24"/>
                <w:highlight w:val="none"/>
              </w:rPr>
              <w:t>。</w:t>
            </w:r>
          </w:p>
          <w:p>
            <w:pPr>
              <w:spacing w:line="360" w:lineRule="auto"/>
              <w:ind w:firstLine="360" w:firstLineChars="150"/>
              <w:rPr>
                <w:rFonts w:hAnsi="宋体"/>
                <w:color w:val="auto"/>
                <w:sz w:val="24"/>
                <w:highlight w:val="none"/>
              </w:rPr>
            </w:pPr>
            <w:r>
              <w:rPr>
                <w:rFonts w:hAnsi="宋体"/>
                <w:color w:val="auto"/>
                <w:sz w:val="24"/>
                <w:highlight w:val="none"/>
              </w:rPr>
              <w:t>（</w:t>
            </w:r>
            <w:r>
              <w:rPr>
                <w:rFonts w:hint="eastAsia" w:hAnsi="宋体"/>
                <w:color w:val="auto"/>
                <w:sz w:val="24"/>
                <w:highlight w:val="none"/>
              </w:rPr>
              <w:t>2</w:t>
            </w:r>
            <w:r>
              <w:rPr>
                <w:rFonts w:hAnsi="宋体"/>
                <w:color w:val="auto"/>
                <w:sz w:val="24"/>
                <w:highlight w:val="none"/>
              </w:rPr>
              <w:t>）</w:t>
            </w:r>
            <w:r>
              <w:rPr>
                <w:rFonts w:hint="eastAsia" w:hAnsi="宋体"/>
                <w:color w:val="auto"/>
                <w:sz w:val="24"/>
                <w:highlight w:val="none"/>
              </w:rPr>
              <w:t>生产过程中应加强设备运行管理，减少设备“带病运行”情况，以减少生产噪声排放。</w:t>
            </w:r>
          </w:p>
          <w:p>
            <w:pPr>
              <w:spacing w:line="360" w:lineRule="auto"/>
              <w:ind w:firstLine="360" w:firstLineChars="150"/>
              <w:rPr>
                <w:rFonts w:hint="eastAsia" w:hAnsi="宋体"/>
                <w:color w:val="auto"/>
                <w:sz w:val="24"/>
                <w:highlight w:val="none"/>
              </w:rPr>
            </w:pPr>
            <w:r>
              <w:rPr>
                <w:rFonts w:hint="eastAsia" w:hAnsi="宋体"/>
                <w:color w:val="auto"/>
                <w:sz w:val="24"/>
                <w:highlight w:val="none"/>
              </w:rPr>
              <w:t>（3）加强危险固体废弃物管理，应与有相应处理资质的单位签订处置协议，委托该单位定期运输、处置危险固体废弃物。</w:t>
            </w:r>
          </w:p>
          <w:p>
            <w:pPr>
              <w:spacing w:line="360" w:lineRule="auto"/>
              <w:ind w:firstLine="360" w:firstLineChars="150"/>
              <w:rPr>
                <w:rFonts w:hAnsi="宋体"/>
                <w:color w:val="auto"/>
                <w:sz w:val="24"/>
                <w:highlight w:val="none"/>
              </w:rPr>
            </w:pPr>
            <w:r>
              <w:rPr>
                <w:rFonts w:hint="eastAsia" w:hAnsi="宋体"/>
                <w:color w:val="auto"/>
                <w:sz w:val="24"/>
                <w:highlight w:val="none"/>
              </w:rPr>
              <w:t>（4）加强环保管理，按照相关要求做好危险废物转移台账、废水处理台账。</w:t>
            </w:r>
          </w:p>
          <w:p>
            <w:pPr>
              <w:spacing w:line="360" w:lineRule="auto"/>
              <w:ind w:firstLine="360" w:firstLineChars="150"/>
              <w:rPr>
                <w:rFonts w:hint="eastAsia"/>
                <w:color w:val="auto"/>
                <w:spacing w:val="6"/>
                <w:sz w:val="24"/>
                <w:highlight w:val="none"/>
              </w:rPr>
            </w:pPr>
            <w:r>
              <w:rPr>
                <w:rFonts w:hint="eastAsia" w:hAnsi="宋体"/>
                <w:color w:val="auto"/>
                <w:sz w:val="24"/>
                <w:highlight w:val="none"/>
              </w:rPr>
              <w:t>（5）建议建设单位委托有资质的机构针对本项目</w:t>
            </w:r>
            <w:r>
              <w:rPr>
                <w:rFonts w:hint="eastAsia"/>
                <w:color w:val="auto"/>
                <w:spacing w:val="6"/>
                <w:sz w:val="24"/>
                <w:highlight w:val="none"/>
              </w:rPr>
              <w:t>编制环境风险突发事件应急预案，并严格落实预案要求。</w:t>
            </w:r>
          </w:p>
          <w:p>
            <w:pPr>
              <w:spacing w:line="360" w:lineRule="auto"/>
              <w:ind w:firstLine="378" w:firstLineChars="150"/>
              <w:rPr>
                <w:color w:val="auto"/>
                <w:sz w:val="24"/>
                <w:highlight w:val="none"/>
              </w:rPr>
            </w:pPr>
            <w:r>
              <w:rPr>
                <w:rFonts w:hint="eastAsia"/>
                <w:color w:val="auto"/>
                <w:spacing w:val="6"/>
                <w:sz w:val="24"/>
                <w:highlight w:val="none"/>
              </w:rPr>
              <w:t>（6）湘潭市九华污水处理厂一期工程目前已经建成，预计2017年12月投入运营。若本项目投产前该污水处理厂仍未正常运营，环评要求建设方委托有资质的单位针对项目废水处理进行工艺设计，确保项目废水处理达到</w:t>
            </w:r>
            <w:r>
              <w:rPr>
                <w:rFonts w:hint="eastAsia"/>
                <w:color w:val="auto"/>
                <w:sz w:val="24"/>
                <w:highlight w:val="none"/>
              </w:rPr>
              <w:t>《污水综合排放标准》（GB8978-1996）一级标准后排入湘潭经济技术开发区污水管网。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128" w:type="dxa"/>
          <w:trHeight w:val="6470" w:hRule="atLeast"/>
          <w:jc w:val="center"/>
        </w:trPr>
        <w:tc>
          <w:tcPr>
            <w:tcW w:w="9459" w:type="dxa"/>
            <w:gridSpan w:val="2"/>
          </w:tcPr>
          <w:p>
            <w:pPr>
              <w:spacing w:line="360" w:lineRule="auto"/>
              <w:rPr>
                <w:color w:val="auto"/>
                <w:spacing w:val="6"/>
                <w:sz w:val="28"/>
                <w:highlight w:val="none"/>
              </w:rPr>
            </w:pPr>
            <w:r>
              <w:rPr>
                <w:color w:val="auto"/>
                <w:spacing w:val="6"/>
                <w:sz w:val="28"/>
                <w:highlight w:val="none"/>
              </w:rPr>
              <w:t>预审意见：</w:t>
            </w:r>
          </w:p>
          <w:p>
            <w:pPr>
              <w:spacing w:line="360" w:lineRule="auto"/>
              <w:rPr>
                <w:color w:val="auto"/>
                <w:spacing w:val="6"/>
                <w:sz w:val="28"/>
                <w:highlight w:val="none"/>
              </w:rPr>
            </w:pPr>
          </w:p>
          <w:p>
            <w:pPr>
              <w:spacing w:line="360" w:lineRule="auto"/>
              <w:rPr>
                <w:color w:val="auto"/>
                <w:spacing w:val="6"/>
                <w:sz w:val="28"/>
                <w:highlight w:val="none"/>
              </w:rPr>
            </w:pPr>
          </w:p>
          <w:p>
            <w:pPr>
              <w:spacing w:line="360" w:lineRule="auto"/>
              <w:rPr>
                <w:color w:val="auto"/>
                <w:spacing w:val="6"/>
                <w:sz w:val="28"/>
                <w:highlight w:val="none"/>
              </w:rPr>
            </w:pPr>
          </w:p>
          <w:p>
            <w:pPr>
              <w:spacing w:line="360" w:lineRule="auto"/>
              <w:rPr>
                <w:color w:val="auto"/>
                <w:spacing w:val="6"/>
                <w:sz w:val="28"/>
                <w:highlight w:val="none"/>
              </w:rPr>
            </w:pPr>
          </w:p>
          <w:p>
            <w:pPr>
              <w:spacing w:line="360" w:lineRule="auto"/>
              <w:rPr>
                <w:color w:val="auto"/>
                <w:spacing w:val="6"/>
                <w:sz w:val="28"/>
                <w:highlight w:val="none"/>
              </w:rPr>
            </w:pPr>
            <w:r>
              <w:rPr>
                <w:color w:val="auto"/>
                <w:spacing w:val="6"/>
                <w:sz w:val="28"/>
                <w:highlight w:val="none"/>
              </w:rPr>
              <w:t xml:space="preserve">                                          公    章</w:t>
            </w:r>
          </w:p>
          <w:p>
            <w:pPr>
              <w:spacing w:line="360" w:lineRule="auto"/>
              <w:rPr>
                <w:color w:val="auto"/>
                <w:spacing w:val="6"/>
                <w:sz w:val="28"/>
                <w:highlight w:val="none"/>
              </w:rPr>
            </w:pPr>
          </w:p>
          <w:p>
            <w:pPr>
              <w:spacing w:line="360" w:lineRule="auto"/>
              <w:rPr>
                <w:color w:val="auto"/>
                <w:spacing w:val="6"/>
                <w:sz w:val="28"/>
                <w:highlight w:val="none"/>
              </w:rPr>
            </w:pPr>
            <w:r>
              <w:rPr>
                <w:color w:val="auto"/>
                <w:spacing w:val="6"/>
                <w:sz w:val="28"/>
                <w:highlight w:val="none"/>
              </w:rPr>
              <w:t>经办人：                                 年   月   日</w:t>
            </w:r>
          </w:p>
          <w:p>
            <w:pPr>
              <w:spacing w:line="360" w:lineRule="auto"/>
              <w:rPr>
                <w:color w:val="auto"/>
                <w:spacing w:val="6"/>
                <w:sz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2"/>
          <w:wBefore w:w="128" w:type="dxa"/>
          <w:trHeight w:val="7107" w:hRule="atLeast"/>
          <w:jc w:val="center"/>
        </w:trPr>
        <w:tc>
          <w:tcPr>
            <w:tcW w:w="9459" w:type="dxa"/>
            <w:gridSpan w:val="2"/>
          </w:tcPr>
          <w:p>
            <w:pPr>
              <w:spacing w:line="360" w:lineRule="auto"/>
              <w:rPr>
                <w:color w:val="auto"/>
                <w:spacing w:val="6"/>
                <w:sz w:val="28"/>
                <w:highlight w:val="none"/>
              </w:rPr>
            </w:pPr>
            <w:r>
              <w:rPr>
                <w:color w:val="auto"/>
                <w:spacing w:val="6"/>
                <w:sz w:val="28"/>
                <w:highlight w:val="none"/>
              </w:rPr>
              <w:t>下一级环境保护行政主管部门审查意见：</w:t>
            </w:r>
          </w:p>
          <w:p>
            <w:pPr>
              <w:spacing w:line="360" w:lineRule="auto"/>
              <w:rPr>
                <w:color w:val="auto"/>
                <w:spacing w:val="6"/>
                <w:sz w:val="28"/>
                <w:highlight w:val="none"/>
              </w:rPr>
            </w:pPr>
          </w:p>
          <w:p>
            <w:pPr>
              <w:spacing w:line="360" w:lineRule="auto"/>
              <w:rPr>
                <w:color w:val="auto"/>
                <w:spacing w:val="6"/>
                <w:sz w:val="28"/>
                <w:highlight w:val="none"/>
              </w:rPr>
            </w:pPr>
          </w:p>
          <w:p>
            <w:pPr>
              <w:spacing w:line="360" w:lineRule="auto"/>
              <w:rPr>
                <w:color w:val="auto"/>
                <w:spacing w:val="6"/>
                <w:sz w:val="28"/>
                <w:highlight w:val="none"/>
              </w:rPr>
            </w:pPr>
          </w:p>
          <w:p>
            <w:pPr>
              <w:spacing w:line="360" w:lineRule="auto"/>
              <w:rPr>
                <w:color w:val="auto"/>
                <w:spacing w:val="6"/>
                <w:sz w:val="28"/>
                <w:highlight w:val="none"/>
              </w:rPr>
            </w:pPr>
          </w:p>
          <w:p>
            <w:pPr>
              <w:spacing w:line="360" w:lineRule="auto"/>
              <w:rPr>
                <w:color w:val="auto"/>
                <w:spacing w:val="6"/>
                <w:sz w:val="28"/>
                <w:highlight w:val="none"/>
              </w:rPr>
            </w:pPr>
            <w:r>
              <w:rPr>
                <w:color w:val="auto"/>
                <w:spacing w:val="6"/>
                <w:sz w:val="28"/>
                <w:highlight w:val="none"/>
              </w:rPr>
              <w:t xml:space="preserve">                                           公    章</w:t>
            </w:r>
          </w:p>
          <w:p>
            <w:pPr>
              <w:spacing w:line="360" w:lineRule="auto"/>
              <w:rPr>
                <w:color w:val="auto"/>
                <w:spacing w:val="6"/>
                <w:sz w:val="28"/>
                <w:highlight w:val="none"/>
              </w:rPr>
            </w:pPr>
          </w:p>
          <w:p>
            <w:pPr>
              <w:spacing w:line="360" w:lineRule="auto"/>
              <w:rPr>
                <w:color w:val="auto"/>
                <w:spacing w:val="6"/>
                <w:sz w:val="28"/>
                <w:highlight w:val="none"/>
              </w:rPr>
            </w:pPr>
            <w:r>
              <w:rPr>
                <w:color w:val="auto"/>
                <w:spacing w:val="6"/>
                <w:sz w:val="28"/>
                <w:highlight w:val="none"/>
              </w:rPr>
              <w:t>经办人：                                 年   月   日</w:t>
            </w:r>
          </w:p>
          <w:p>
            <w:pPr>
              <w:spacing w:line="360" w:lineRule="auto"/>
              <w:rPr>
                <w:color w:val="auto"/>
                <w:spacing w:val="6"/>
                <w:sz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trHeight w:val="13250" w:hRule="atLeast"/>
          <w:jc w:val="center"/>
        </w:trPr>
        <w:tc>
          <w:tcPr>
            <w:tcW w:w="9500" w:type="dxa"/>
            <w:gridSpan w:val="3"/>
            <w:tcBorders>
              <w:bottom w:val="single" w:color="auto" w:sz="4" w:space="0"/>
            </w:tcBorders>
          </w:tcPr>
          <w:p>
            <w:pPr>
              <w:spacing w:line="460" w:lineRule="exact"/>
              <w:rPr>
                <w:color w:val="auto"/>
                <w:spacing w:val="6"/>
                <w:sz w:val="28"/>
                <w:highlight w:val="none"/>
              </w:rPr>
            </w:pPr>
            <w:r>
              <w:rPr>
                <w:color w:val="auto"/>
                <w:spacing w:val="6"/>
                <w:sz w:val="28"/>
                <w:highlight w:val="none"/>
              </w:rPr>
              <w:t>审批意见：</w:t>
            </w: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p>
          <w:p>
            <w:pPr>
              <w:spacing w:line="460" w:lineRule="exact"/>
              <w:rPr>
                <w:color w:val="auto"/>
                <w:spacing w:val="6"/>
                <w:sz w:val="28"/>
                <w:highlight w:val="none"/>
              </w:rPr>
            </w:pPr>
            <w:r>
              <w:rPr>
                <w:color w:val="auto"/>
                <w:spacing w:val="6"/>
                <w:sz w:val="28"/>
                <w:highlight w:val="none"/>
              </w:rPr>
              <w:t xml:space="preserve">                                           公    章</w:t>
            </w:r>
          </w:p>
          <w:p>
            <w:pPr>
              <w:spacing w:line="460" w:lineRule="exact"/>
              <w:rPr>
                <w:color w:val="auto"/>
                <w:spacing w:val="6"/>
                <w:sz w:val="28"/>
                <w:highlight w:val="none"/>
              </w:rPr>
            </w:pPr>
          </w:p>
          <w:p>
            <w:pPr>
              <w:spacing w:line="460" w:lineRule="exact"/>
              <w:rPr>
                <w:color w:val="auto"/>
                <w:spacing w:val="6"/>
                <w:sz w:val="28"/>
                <w:highlight w:val="none"/>
              </w:rPr>
            </w:pPr>
            <w:r>
              <w:rPr>
                <w:color w:val="auto"/>
                <w:spacing w:val="6"/>
                <w:sz w:val="28"/>
                <w:highlight w:val="none"/>
              </w:rPr>
              <w:t>经办人：                                 年   月   日</w:t>
            </w:r>
          </w:p>
          <w:p>
            <w:pPr>
              <w:spacing w:line="460" w:lineRule="exact"/>
              <w:rPr>
                <w:color w:val="auto"/>
                <w:spacing w:val="6"/>
                <w:sz w:val="28"/>
                <w:highlight w:val="none"/>
              </w:rPr>
            </w:pPr>
          </w:p>
        </w:tc>
      </w:tr>
    </w:tbl>
    <w:p>
      <w:pPr>
        <w:spacing w:line="460" w:lineRule="exact"/>
        <w:rPr>
          <w:spacing w:val="6"/>
          <w:sz w:val="28"/>
        </w:rPr>
      </w:pPr>
    </w:p>
    <w:tbl>
      <w:tblPr>
        <w:tblStyle w:val="29"/>
        <w:tblW w:w="95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83" w:hRule="atLeast"/>
        </w:trPr>
        <w:tc>
          <w:tcPr>
            <w:tcW w:w="9540" w:type="dxa"/>
          </w:tcPr>
          <w:p>
            <w:pPr>
              <w:spacing w:line="600" w:lineRule="exact"/>
              <w:jc w:val="center"/>
              <w:rPr>
                <w:b/>
                <w:spacing w:val="6"/>
                <w:sz w:val="32"/>
              </w:rPr>
            </w:pPr>
            <w:r>
              <w:rPr>
                <w:b/>
                <w:spacing w:val="6"/>
                <w:sz w:val="32"/>
              </w:rPr>
              <w:t>注    释</w:t>
            </w:r>
          </w:p>
          <w:p>
            <w:pPr>
              <w:spacing w:line="600" w:lineRule="exact"/>
              <w:ind w:left="615"/>
              <w:rPr>
                <w:spacing w:val="6"/>
                <w:sz w:val="28"/>
              </w:rPr>
            </w:pPr>
            <w:r>
              <w:rPr>
                <w:spacing w:val="6"/>
                <w:sz w:val="28"/>
              </w:rPr>
              <w:t>一、本报告表应附以附件、附图：</w:t>
            </w:r>
          </w:p>
          <w:p>
            <w:pPr>
              <w:spacing w:line="600" w:lineRule="exact"/>
              <w:ind w:left="615"/>
              <w:rPr>
                <w:spacing w:val="6"/>
                <w:sz w:val="28"/>
              </w:rPr>
            </w:pPr>
            <w:r>
              <w:rPr>
                <w:rFonts w:hint="eastAsia"/>
                <w:spacing w:val="6"/>
                <w:sz w:val="28"/>
              </w:rPr>
              <w:t>附件1  建设项目基本信息登记表</w:t>
            </w:r>
          </w:p>
          <w:p>
            <w:pPr>
              <w:spacing w:line="600" w:lineRule="exact"/>
              <w:ind w:left="615"/>
              <w:rPr>
                <w:spacing w:val="6"/>
                <w:sz w:val="28"/>
              </w:rPr>
            </w:pPr>
            <w:r>
              <w:rPr>
                <w:rFonts w:hint="eastAsia"/>
                <w:spacing w:val="6"/>
                <w:sz w:val="28"/>
              </w:rPr>
              <w:t>附件2  环评合同</w:t>
            </w:r>
          </w:p>
          <w:p>
            <w:pPr>
              <w:spacing w:line="600" w:lineRule="exact"/>
              <w:ind w:left="615"/>
              <w:rPr>
                <w:spacing w:val="6"/>
                <w:sz w:val="28"/>
              </w:rPr>
            </w:pPr>
            <w:r>
              <w:rPr>
                <w:rFonts w:hint="eastAsia"/>
                <w:spacing w:val="6"/>
                <w:sz w:val="28"/>
              </w:rPr>
              <w:t>附件3  营业执照</w:t>
            </w:r>
          </w:p>
          <w:p>
            <w:pPr>
              <w:spacing w:line="600" w:lineRule="exact"/>
              <w:ind w:left="615"/>
              <w:rPr>
                <w:rFonts w:hint="eastAsia"/>
                <w:spacing w:val="6"/>
                <w:sz w:val="28"/>
              </w:rPr>
            </w:pPr>
            <w:r>
              <w:rPr>
                <w:rFonts w:hint="eastAsia"/>
                <w:spacing w:val="6"/>
                <w:sz w:val="28"/>
              </w:rPr>
              <w:t>附件4  本项目监测报告及质保单</w:t>
            </w:r>
          </w:p>
          <w:p>
            <w:pPr>
              <w:spacing w:line="600" w:lineRule="exact"/>
              <w:ind w:left="615"/>
              <w:rPr>
                <w:rFonts w:hint="eastAsia"/>
                <w:spacing w:val="6"/>
                <w:sz w:val="28"/>
              </w:rPr>
            </w:pPr>
            <w:r>
              <w:rPr>
                <w:rFonts w:hint="eastAsia"/>
                <w:spacing w:val="6"/>
                <w:sz w:val="28"/>
              </w:rPr>
              <w:t>附件5  同类工程检测报告</w:t>
            </w:r>
          </w:p>
          <w:p>
            <w:pPr>
              <w:spacing w:line="600" w:lineRule="exact"/>
              <w:ind w:left="615"/>
              <w:rPr>
                <w:spacing w:val="6"/>
                <w:sz w:val="28"/>
              </w:rPr>
            </w:pPr>
            <w:r>
              <w:rPr>
                <w:rFonts w:hint="eastAsia"/>
                <w:spacing w:val="6"/>
                <w:sz w:val="28"/>
              </w:rPr>
              <w:t>附件6  公众参与调查表</w:t>
            </w:r>
          </w:p>
          <w:p>
            <w:pPr>
              <w:spacing w:line="600" w:lineRule="exact"/>
              <w:ind w:left="1218" w:hanging="603"/>
              <w:rPr>
                <w:rFonts w:hint="eastAsia"/>
                <w:spacing w:val="6"/>
                <w:sz w:val="28"/>
              </w:rPr>
            </w:pPr>
            <w:r>
              <w:rPr>
                <w:rFonts w:hint="eastAsia"/>
                <w:spacing w:val="6"/>
                <w:sz w:val="28"/>
              </w:rPr>
              <w:t>附图1  项目地理位置示意图</w:t>
            </w:r>
          </w:p>
          <w:p>
            <w:pPr>
              <w:spacing w:line="600" w:lineRule="exact"/>
              <w:ind w:left="1218" w:hanging="603"/>
              <w:rPr>
                <w:spacing w:val="6"/>
                <w:sz w:val="28"/>
              </w:rPr>
            </w:pPr>
            <w:r>
              <w:rPr>
                <w:rFonts w:hint="eastAsia"/>
                <w:spacing w:val="6"/>
                <w:sz w:val="28"/>
              </w:rPr>
              <w:t>附图2  项目宗地图</w:t>
            </w:r>
          </w:p>
          <w:p>
            <w:pPr>
              <w:spacing w:line="600" w:lineRule="exact"/>
              <w:ind w:left="1218" w:hanging="603"/>
              <w:rPr>
                <w:spacing w:val="6"/>
                <w:sz w:val="28"/>
              </w:rPr>
            </w:pPr>
            <w:r>
              <w:rPr>
                <w:rFonts w:hint="eastAsia"/>
                <w:spacing w:val="6"/>
                <w:sz w:val="28"/>
              </w:rPr>
              <w:t>附图3  项目平面布局图</w:t>
            </w:r>
          </w:p>
          <w:p>
            <w:pPr>
              <w:spacing w:line="600" w:lineRule="exact"/>
              <w:ind w:left="1218" w:hanging="603"/>
              <w:rPr>
                <w:spacing w:val="6"/>
                <w:sz w:val="28"/>
              </w:rPr>
            </w:pPr>
            <w:r>
              <w:rPr>
                <w:spacing w:val="6"/>
                <w:sz w:val="28"/>
              </w:rPr>
              <w:t>二、如果本报告表不能说明项目产生的污染及对环境造成的影响，应进行专项评价。根据建设项目的特点和当地环境特征，应选下列1—2项进行专项评价。</w:t>
            </w:r>
          </w:p>
          <w:p>
            <w:pPr>
              <w:tabs>
                <w:tab w:val="left" w:pos="1113"/>
              </w:tabs>
              <w:spacing w:line="600" w:lineRule="exact"/>
              <w:ind w:left="615"/>
              <w:rPr>
                <w:spacing w:val="6"/>
                <w:sz w:val="28"/>
              </w:rPr>
            </w:pPr>
            <w:r>
              <w:rPr>
                <w:spacing w:val="6"/>
                <w:sz w:val="28"/>
              </w:rPr>
              <w:t>1、大气环境影响专项评价</w:t>
            </w:r>
          </w:p>
          <w:p>
            <w:pPr>
              <w:tabs>
                <w:tab w:val="left" w:pos="1113"/>
              </w:tabs>
              <w:spacing w:line="600" w:lineRule="exact"/>
              <w:ind w:left="615"/>
              <w:rPr>
                <w:spacing w:val="6"/>
                <w:sz w:val="28"/>
              </w:rPr>
            </w:pPr>
            <w:r>
              <w:rPr>
                <w:spacing w:val="6"/>
                <w:sz w:val="28"/>
              </w:rPr>
              <w:t>2、水环境影响专项评价（包括地表水和地下水）</w:t>
            </w:r>
          </w:p>
          <w:p>
            <w:pPr>
              <w:tabs>
                <w:tab w:val="left" w:pos="1113"/>
              </w:tabs>
              <w:spacing w:line="600" w:lineRule="exact"/>
              <w:ind w:left="615"/>
              <w:rPr>
                <w:spacing w:val="6"/>
                <w:sz w:val="28"/>
              </w:rPr>
            </w:pPr>
            <w:r>
              <w:rPr>
                <w:spacing w:val="6"/>
                <w:sz w:val="28"/>
              </w:rPr>
              <w:t>3、生态影响专项评价</w:t>
            </w:r>
          </w:p>
          <w:p>
            <w:pPr>
              <w:tabs>
                <w:tab w:val="left" w:pos="1113"/>
              </w:tabs>
              <w:spacing w:line="600" w:lineRule="exact"/>
              <w:ind w:left="615"/>
              <w:rPr>
                <w:spacing w:val="6"/>
                <w:sz w:val="28"/>
              </w:rPr>
            </w:pPr>
            <w:r>
              <w:rPr>
                <w:spacing w:val="6"/>
                <w:sz w:val="28"/>
              </w:rPr>
              <w:t>4、声影响专项评价</w:t>
            </w:r>
          </w:p>
          <w:p>
            <w:pPr>
              <w:tabs>
                <w:tab w:val="left" w:pos="1113"/>
              </w:tabs>
              <w:spacing w:line="600" w:lineRule="exact"/>
              <w:ind w:left="615"/>
              <w:rPr>
                <w:spacing w:val="6"/>
                <w:sz w:val="28"/>
              </w:rPr>
            </w:pPr>
            <w:r>
              <w:rPr>
                <w:spacing w:val="6"/>
                <w:sz w:val="28"/>
              </w:rPr>
              <w:t>5、土壤影响专项评价</w:t>
            </w:r>
            <w:bookmarkStart w:id="5" w:name="_GoBack"/>
            <w:bookmarkEnd w:id="5"/>
          </w:p>
          <w:p>
            <w:pPr>
              <w:tabs>
                <w:tab w:val="left" w:pos="1113"/>
              </w:tabs>
              <w:spacing w:line="600" w:lineRule="exact"/>
              <w:ind w:left="615"/>
              <w:rPr>
                <w:spacing w:val="6"/>
                <w:sz w:val="28"/>
              </w:rPr>
            </w:pPr>
            <w:r>
              <w:rPr>
                <w:spacing w:val="6"/>
                <w:sz w:val="28"/>
              </w:rPr>
              <w:t>6、固体废物影响专项评价</w:t>
            </w:r>
          </w:p>
          <w:p>
            <w:pPr>
              <w:tabs>
                <w:tab w:val="left" w:pos="1113"/>
              </w:tabs>
              <w:spacing w:line="600" w:lineRule="exact"/>
              <w:ind w:left="-42" w:firstLine="657"/>
              <w:rPr>
                <w:spacing w:val="6"/>
                <w:sz w:val="28"/>
              </w:rPr>
            </w:pPr>
            <w:r>
              <w:rPr>
                <w:spacing w:val="6"/>
                <w:sz w:val="28"/>
              </w:rPr>
              <w:t>以上专项评价未包括的可列专项，专项评价按照《环境影响评价技术导则》中的要求进行。</w:t>
            </w:r>
          </w:p>
        </w:tc>
      </w:tr>
    </w:tbl>
    <w:p>
      <w:pPr>
        <w:jc w:val="center"/>
      </w:pPr>
    </w:p>
    <w:sectPr>
      <w:pgSz w:w="11906" w:h="16838"/>
      <w:pgMar w:top="1418" w:right="1077" w:bottom="1247" w:left="1418"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宋体D'茋...">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rPr>
        <w:rStyle w:val="26"/>
      </w:rPr>
    </w:pPr>
  </w:p>
  <w:p>
    <w:pPr>
      <w:pStyle w:val="19"/>
      <w:framePr w:wrap="around" w:vAnchor="text" w:hAnchor="page" w:x="6186" w:y="-11"/>
      <w:rPr>
        <w:rStyle w:val="26"/>
      </w:rPr>
    </w:pPr>
  </w:p>
  <w:p>
    <w:pPr>
      <w:pStyle w:val="19"/>
      <w:ind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6"/>
      </w:rPr>
    </w:pPr>
    <w:r>
      <w:fldChar w:fldCharType="begin"/>
    </w:r>
    <w:r>
      <w:rPr>
        <w:rStyle w:val="26"/>
      </w:rPr>
      <w:instrText xml:space="preserve">PAGE  </w:instrText>
    </w:r>
    <w: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ind w:firstLine="360"/>
      <w:rPr>
        <w:rStyle w:val="26"/>
      </w:rPr>
    </w:pPr>
    <w:r>
      <w:fldChar w:fldCharType="begin"/>
    </w:r>
    <w:r>
      <w:rPr>
        <w:rStyle w:val="26"/>
      </w:rPr>
      <w:instrText xml:space="preserve">PAGE  </w:instrText>
    </w:r>
    <w:r>
      <w:fldChar w:fldCharType="separate"/>
    </w:r>
    <w:r>
      <w:rPr>
        <w:rStyle w:val="26"/>
      </w:rPr>
      <w:t>2</w:t>
    </w:r>
    <w:r>
      <w:fldChar w:fldCharType="end"/>
    </w:r>
  </w:p>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ind w:firstLine="360"/>
      <w:rPr>
        <w:rStyle w:val="26"/>
      </w:rPr>
    </w:pPr>
    <w:r>
      <w:fldChar w:fldCharType="begin"/>
    </w:r>
    <w:r>
      <w:rPr>
        <w:rStyle w:val="26"/>
      </w:rPr>
      <w:instrText xml:space="preserve">PAGE  </w:instrText>
    </w:r>
    <w:r>
      <w:fldChar w:fldCharType="end"/>
    </w:r>
  </w:p>
  <w:p>
    <w:pPr>
      <w:pStyle w:val="1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6"/>
      </w:rPr>
    </w:pPr>
    <w:r>
      <w:fldChar w:fldCharType="begin"/>
    </w:r>
    <w:r>
      <w:rPr>
        <w:rStyle w:val="26"/>
      </w:rPr>
      <w:instrText xml:space="preserve">PAGE  </w:instrText>
    </w:r>
    <w:r>
      <w:fldChar w:fldCharType="separate"/>
    </w:r>
    <w:r>
      <w:rPr>
        <w:rStyle w:val="26"/>
      </w:rPr>
      <w:t>27</w:t>
    </w:r>
    <w:r>
      <w:fldChar w:fldCharType="end"/>
    </w:r>
  </w:p>
  <w:p>
    <w:pPr>
      <w:pStyle w:val="1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26"/>
      </w:rPr>
    </w:pPr>
    <w:r>
      <w:fldChar w:fldCharType="begin"/>
    </w:r>
    <w:r>
      <w:rPr>
        <w:rStyle w:val="26"/>
      </w:rPr>
      <w:instrText xml:space="preserve">PAGE  </w:instrText>
    </w:r>
    <w:r>
      <w:fldChar w:fldCharType="end"/>
    </w:r>
  </w:p>
  <w:p>
    <w:pPr>
      <w:pStyle w:val="1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宋体" w:hAnsi="宋体"/>
        <w:sz w:val="18"/>
        <w:szCs w:val="18"/>
      </w:rPr>
    </w:pP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420A3"/>
    <w:rsid w:val="0000028C"/>
    <w:rsid w:val="00000550"/>
    <w:rsid w:val="00001A02"/>
    <w:rsid w:val="00002098"/>
    <w:rsid w:val="00003565"/>
    <w:rsid w:val="00003E07"/>
    <w:rsid w:val="00004C0C"/>
    <w:rsid w:val="00004C4F"/>
    <w:rsid w:val="00004D7D"/>
    <w:rsid w:val="000061EF"/>
    <w:rsid w:val="000069A4"/>
    <w:rsid w:val="00006EF4"/>
    <w:rsid w:val="000078C9"/>
    <w:rsid w:val="000103F5"/>
    <w:rsid w:val="00010C2D"/>
    <w:rsid w:val="00011D7C"/>
    <w:rsid w:val="00013AE1"/>
    <w:rsid w:val="00013BB9"/>
    <w:rsid w:val="00015E0D"/>
    <w:rsid w:val="0001612D"/>
    <w:rsid w:val="00016CB2"/>
    <w:rsid w:val="000171F7"/>
    <w:rsid w:val="000204EB"/>
    <w:rsid w:val="0002079D"/>
    <w:rsid w:val="00020B8D"/>
    <w:rsid w:val="00021DE3"/>
    <w:rsid w:val="00022D1C"/>
    <w:rsid w:val="000254E0"/>
    <w:rsid w:val="00026AD3"/>
    <w:rsid w:val="0002727E"/>
    <w:rsid w:val="00027FB7"/>
    <w:rsid w:val="000305A6"/>
    <w:rsid w:val="00030738"/>
    <w:rsid w:val="00030FFE"/>
    <w:rsid w:val="0003191B"/>
    <w:rsid w:val="00031F8E"/>
    <w:rsid w:val="00032E23"/>
    <w:rsid w:val="00033254"/>
    <w:rsid w:val="000339AA"/>
    <w:rsid w:val="00033B89"/>
    <w:rsid w:val="000340B8"/>
    <w:rsid w:val="00034B51"/>
    <w:rsid w:val="00034F75"/>
    <w:rsid w:val="000356A2"/>
    <w:rsid w:val="000368AC"/>
    <w:rsid w:val="00036CEB"/>
    <w:rsid w:val="000373A2"/>
    <w:rsid w:val="00040D4F"/>
    <w:rsid w:val="000410F4"/>
    <w:rsid w:val="000412B3"/>
    <w:rsid w:val="000418BA"/>
    <w:rsid w:val="00042638"/>
    <w:rsid w:val="00043FDB"/>
    <w:rsid w:val="000442B1"/>
    <w:rsid w:val="00044774"/>
    <w:rsid w:val="00044BF5"/>
    <w:rsid w:val="000451E2"/>
    <w:rsid w:val="00045FC0"/>
    <w:rsid w:val="00046E59"/>
    <w:rsid w:val="00047028"/>
    <w:rsid w:val="00047E4C"/>
    <w:rsid w:val="00050B7D"/>
    <w:rsid w:val="00051554"/>
    <w:rsid w:val="00051FF3"/>
    <w:rsid w:val="00052D1C"/>
    <w:rsid w:val="00052EF1"/>
    <w:rsid w:val="00053300"/>
    <w:rsid w:val="00054361"/>
    <w:rsid w:val="000554BC"/>
    <w:rsid w:val="000560A8"/>
    <w:rsid w:val="000561A0"/>
    <w:rsid w:val="0005672C"/>
    <w:rsid w:val="00056D28"/>
    <w:rsid w:val="000571BF"/>
    <w:rsid w:val="00060DED"/>
    <w:rsid w:val="00060F0A"/>
    <w:rsid w:val="00062617"/>
    <w:rsid w:val="00062ADD"/>
    <w:rsid w:val="00064BB2"/>
    <w:rsid w:val="000656E9"/>
    <w:rsid w:val="00065CDA"/>
    <w:rsid w:val="0006696B"/>
    <w:rsid w:val="000670F3"/>
    <w:rsid w:val="00067A7A"/>
    <w:rsid w:val="00070A7F"/>
    <w:rsid w:val="000717CA"/>
    <w:rsid w:val="000720B0"/>
    <w:rsid w:val="000722D7"/>
    <w:rsid w:val="0007289B"/>
    <w:rsid w:val="00072BFC"/>
    <w:rsid w:val="00072F41"/>
    <w:rsid w:val="00075AE5"/>
    <w:rsid w:val="00075BCC"/>
    <w:rsid w:val="00076280"/>
    <w:rsid w:val="0007629B"/>
    <w:rsid w:val="0007731E"/>
    <w:rsid w:val="00077AB6"/>
    <w:rsid w:val="00077FC7"/>
    <w:rsid w:val="000809A1"/>
    <w:rsid w:val="0008244D"/>
    <w:rsid w:val="00082569"/>
    <w:rsid w:val="00082C94"/>
    <w:rsid w:val="00082D2E"/>
    <w:rsid w:val="00082F21"/>
    <w:rsid w:val="00085662"/>
    <w:rsid w:val="0008568B"/>
    <w:rsid w:val="00086057"/>
    <w:rsid w:val="00090A16"/>
    <w:rsid w:val="00092564"/>
    <w:rsid w:val="000928E9"/>
    <w:rsid w:val="00092F1C"/>
    <w:rsid w:val="000936F6"/>
    <w:rsid w:val="000940C5"/>
    <w:rsid w:val="00095676"/>
    <w:rsid w:val="000958B6"/>
    <w:rsid w:val="0009604D"/>
    <w:rsid w:val="0009613A"/>
    <w:rsid w:val="00096AC0"/>
    <w:rsid w:val="000A0F0F"/>
    <w:rsid w:val="000A1250"/>
    <w:rsid w:val="000A1301"/>
    <w:rsid w:val="000A239F"/>
    <w:rsid w:val="000A2BAA"/>
    <w:rsid w:val="000A443D"/>
    <w:rsid w:val="000A5F50"/>
    <w:rsid w:val="000A6EC0"/>
    <w:rsid w:val="000A77A6"/>
    <w:rsid w:val="000A7A13"/>
    <w:rsid w:val="000B060F"/>
    <w:rsid w:val="000B0BB0"/>
    <w:rsid w:val="000B1337"/>
    <w:rsid w:val="000B3A80"/>
    <w:rsid w:val="000B3D90"/>
    <w:rsid w:val="000B42AC"/>
    <w:rsid w:val="000B5418"/>
    <w:rsid w:val="000B5DA2"/>
    <w:rsid w:val="000C0563"/>
    <w:rsid w:val="000C0ED2"/>
    <w:rsid w:val="000C16C4"/>
    <w:rsid w:val="000C31C4"/>
    <w:rsid w:val="000C3709"/>
    <w:rsid w:val="000C3A91"/>
    <w:rsid w:val="000C4787"/>
    <w:rsid w:val="000C49D8"/>
    <w:rsid w:val="000C4D95"/>
    <w:rsid w:val="000C5875"/>
    <w:rsid w:val="000C644E"/>
    <w:rsid w:val="000C6C55"/>
    <w:rsid w:val="000C6F53"/>
    <w:rsid w:val="000C77F1"/>
    <w:rsid w:val="000C7810"/>
    <w:rsid w:val="000D046C"/>
    <w:rsid w:val="000D1752"/>
    <w:rsid w:val="000D2CB2"/>
    <w:rsid w:val="000D4228"/>
    <w:rsid w:val="000D4F72"/>
    <w:rsid w:val="000D5124"/>
    <w:rsid w:val="000D698C"/>
    <w:rsid w:val="000E06C2"/>
    <w:rsid w:val="000E1348"/>
    <w:rsid w:val="000E2E77"/>
    <w:rsid w:val="000E2F90"/>
    <w:rsid w:val="000E5B9E"/>
    <w:rsid w:val="000E6688"/>
    <w:rsid w:val="000E6F11"/>
    <w:rsid w:val="000E7BC4"/>
    <w:rsid w:val="000F07BC"/>
    <w:rsid w:val="000F4B9C"/>
    <w:rsid w:val="000F5077"/>
    <w:rsid w:val="000F5B33"/>
    <w:rsid w:val="000F5DB2"/>
    <w:rsid w:val="000F5F96"/>
    <w:rsid w:val="000F650B"/>
    <w:rsid w:val="000F670F"/>
    <w:rsid w:val="000F762F"/>
    <w:rsid w:val="000F778A"/>
    <w:rsid w:val="000F784F"/>
    <w:rsid w:val="000F7E7D"/>
    <w:rsid w:val="001006D8"/>
    <w:rsid w:val="00100870"/>
    <w:rsid w:val="001025CC"/>
    <w:rsid w:val="00103092"/>
    <w:rsid w:val="0010385D"/>
    <w:rsid w:val="00104690"/>
    <w:rsid w:val="001057BB"/>
    <w:rsid w:val="00110EC4"/>
    <w:rsid w:val="001120C7"/>
    <w:rsid w:val="0011455E"/>
    <w:rsid w:val="00115059"/>
    <w:rsid w:val="00115AC2"/>
    <w:rsid w:val="00117BB6"/>
    <w:rsid w:val="001201D7"/>
    <w:rsid w:val="00120745"/>
    <w:rsid w:val="00120E76"/>
    <w:rsid w:val="00121192"/>
    <w:rsid w:val="001219B1"/>
    <w:rsid w:val="0012220F"/>
    <w:rsid w:val="00123C10"/>
    <w:rsid w:val="00123CB4"/>
    <w:rsid w:val="001247B8"/>
    <w:rsid w:val="00124B73"/>
    <w:rsid w:val="00124F31"/>
    <w:rsid w:val="001252CD"/>
    <w:rsid w:val="001255CD"/>
    <w:rsid w:val="00126E68"/>
    <w:rsid w:val="00127010"/>
    <w:rsid w:val="00130063"/>
    <w:rsid w:val="001308F8"/>
    <w:rsid w:val="00130D81"/>
    <w:rsid w:val="00130EC1"/>
    <w:rsid w:val="00133800"/>
    <w:rsid w:val="001354C5"/>
    <w:rsid w:val="00135B24"/>
    <w:rsid w:val="001367E3"/>
    <w:rsid w:val="00137883"/>
    <w:rsid w:val="00140516"/>
    <w:rsid w:val="001431D9"/>
    <w:rsid w:val="00144073"/>
    <w:rsid w:val="001442FA"/>
    <w:rsid w:val="0014461A"/>
    <w:rsid w:val="001453D7"/>
    <w:rsid w:val="0014594E"/>
    <w:rsid w:val="00145A2D"/>
    <w:rsid w:val="00145C1E"/>
    <w:rsid w:val="00145D97"/>
    <w:rsid w:val="00145E60"/>
    <w:rsid w:val="00145F94"/>
    <w:rsid w:val="001505AD"/>
    <w:rsid w:val="00150776"/>
    <w:rsid w:val="00150DA8"/>
    <w:rsid w:val="0015112E"/>
    <w:rsid w:val="00152C8E"/>
    <w:rsid w:val="00153331"/>
    <w:rsid w:val="00153402"/>
    <w:rsid w:val="001537C2"/>
    <w:rsid w:val="0015393C"/>
    <w:rsid w:val="0015414A"/>
    <w:rsid w:val="00154844"/>
    <w:rsid w:val="00154D0D"/>
    <w:rsid w:val="00155570"/>
    <w:rsid w:val="001563C2"/>
    <w:rsid w:val="00156690"/>
    <w:rsid w:val="0015692B"/>
    <w:rsid w:val="00156CB4"/>
    <w:rsid w:val="00160797"/>
    <w:rsid w:val="00160E1A"/>
    <w:rsid w:val="00161BFD"/>
    <w:rsid w:val="0016226E"/>
    <w:rsid w:val="0016394A"/>
    <w:rsid w:val="00166245"/>
    <w:rsid w:val="00166A3F"/>
    <w:rsid w:val="00167C9F"/>
    <w:rsid w:val="00167F9F"/>
    <w:rsid w:val="00170789"/>
    <w:rsid w:val="001711B2"/>
    <w:rsid w:val="001736D1"/>
    <w:rsid w:val="00173A44"/>
    <w:rsid w:val="00174427"/>
    <w:rsid w:val="001747F3"/>
    <w:rsid w:val="00174D0F"/>
    <w:rsid w:val="00175B94"/>
    <w:rsid w:val="001775C5"/>
    <w:rsid w:val="001808BF"/>
    <w:rsid w:val="001812D1"/>
    <w:rsid w:val="0018249A"/>
    <w:rsid w:val="00182996"/>
    <w:rsid w:val="00183431"/>
    <w:rsid w:val="00183567"/>
    <w:rsid w:val="00183716"/>
    <w:rsid w:val="00183B41"/>
    <w:rsid w:val="00183CFA"/>
    <w:rsid w:val="001844CE"/>
    <w:rsid w:val="001847DA"/>
    <w:rsid w:val="00184CC0"/>
    <w:rsid w:val="00184CCF"/>
    <w:rsid w:val="00184FBC"/>
    <w:rsid w:val="00184FC7"/>
    <w:rsid w:val="00185814"/>
    <w:rsid w:val="0018671C"/>
    <w:rsid w:val="001869BC"/>
    <w:rsid w:val="00186F8B"/>
    <w:rsid w:val="00187AE6"/>
    <w:rsid w:val="00187CA4"/>
    <w:rsid w:val="00190883"/>
    <w:rsid w:val="00190F1F"/>
    <w:rsid w:val="0019194C"/>
    <w:rsid w:val="00191D94"/>
    <w:rsid w:val="0019239B"/>
    <w:rsid w:val="00193ABB"/>
    <w:rsid w:val="00194948"/>
    <w:rsid w:val="00195096"/>
    <w:rsid w:val="001968DA"/>
    <w:rsid w:val="0019708E"/>
    <w:rsid w:val="00197EC7"/>
    <w:rsid w:val="001A23CD"/>
    <w:rsid w:val="001A3342"/>
    <w:rsid w:val="001A3B61"/>
    <w:rsid w:val="001A449E"/>
    <w:rsid w:val="001A4ED1"/>
    <w:rsid w:val="001A6FE5"/>
    <w:rsid w:val="001A7694"/>
    <w:rsid w:val="001A7C26"/>
    <w:rsid w:val="001B0E73"/>
    <w:rsid w:val="001B1179"/>
    <w:rsid w:val="001B1E18"/>
    <w:rsid w:val="001B20A4"/>
    <w:rsid w:val="001B3346"/>
    <w:rsid w:val="001B3AE5"/>
    <w:rsid w:val="001B3E9D"/>
    <w:rsid w:val="001B4378"/>
    <w:rsid w:val="001B5175"/>
    <w:rsid w:val="001B5B2A"/>
    <w:rsid w:val="001B6416"/>
    <w:rsid w:val="001B68C4"/>
    <w:rsid w:val="001B6BEB"/>
    <w:rsid w:val="001B7103"/>
    <w:rsid w:val="001B7EDC"/>
    <w:rsid w:val="001C17D3"/>
    <w:rsid w:val="001C1EA0"/>
    <w:rsid w:val="001C22F2"/>
    <w:rsid w:val="001C268E"/>
    <w:rsid w:val="001C2F31"/>
    <w:rsid w:val="001C36D3"/>
    <w:rsid w:val="001C54D0"/>
    <w:rsid w:val="001C5F31"/>
    <w:rsid w:val="001C5FED"/>
    <w:rsid w:val="001C6806"/>
    <w:rsid w:val="001C6BE1"/>
    <w:rsid w:val="001C7788"/>
    <w:rsid w:val="001C78BB"/>
    <w:rsid w:val="001C7A0D"/>
    <w:rsid w:val="001D0EBE"/>
    <w:rsid w:val="001D1D99"/>
    <w:rsid w:val="001D3413"/>
    <w:rsid w:val="001D3B28"/>
    <w:rsid w:val="001D4AC8"/>
    <w:rsid w:val="001D4B5B"/>
    <w:rsid w:val="001D6327"/>
    <w:rsid w:val="001D646D"/>
    <w:rsid w:val="001D75C4"/>
    <w:rsid w:val="001D7E7D"/>
    <w:rsid w:val="001E066B"/>
    <w:rsid w:val="001E0F19"/>
    <w:rsid w:val="001E1465"/>
    <w:rsid w:val="001E1766"/>
    <w:rsid w:val="001E1D8C"/>
    <w:rsid w:val="001E20B9"/>
    <w:rsid w:val="001E28E8"/>
    <w:rsid w:val="001E2F36"/>
    <w:rsid w:val="001E311C"/>
    <w:rsid w:val="001E738D"/>
    <w:rsid w:val="001E7706"/>
    <w:rsid w:val="001E7ACF"/>
    <w:rsid w:val="001E7BD8"/>
    <w:rsid w:val="001F0B7E"/>
    <w:rsid w:val="001F1373"/>
    <w:rsid w:val="001F16FB"/>
    <w:rsid w:val="001F2E4E"/>
    <w:rsid w:val="001F3384"/>
    <w:rsid w:val="001F3B3F"/>
    <w:rsid w:val="001F4CD2"/>
    <w:rsid w:val="001F5FD6"/>
    <w:rsid w:val="001F691B"/>
    <w:rsid w:val="001F77DC"/>
    <w:rsid w:val="002008D2"/>
    <w:rsid w:val="002012D7"/>
    <w:rsid w:val="00201F80"/>
    <w:rsid w:val="00202414"/>
    <w:rsid w:val="00202542"/>
    <w:rsid w:val="002047B4"/>
    <w:rsid w:val="0020505A"/>
    <w:rsid w:val="0020585E"/>
    <w:rsid w:val="00205B9B"/>
    <w:rsid w:val="00205C35"/>
    <w:rsid w:val="002063EB"/>
    <w:rsid w:val="00206E2D"/>
    <w:rsid w:val="00207EF0"/>
    <w:rsid w:val="002108EE"/>
    <w:rsid w:val="00210F74"/>
    <w:rsid w:val="002115E5"/>
    <w:rsid w:val="002121D8"/>
    <w:rsid w:val="0021265E"/>
    <w:rsid w:val="0021302D"/>
    <w:rsid w:val="0021341C"/>
    <w:rsid w:val="00213DDC"/>
    <w:rsid w:val="002146E0"/>
    <w:rsid w:val="00215BD6"/>
    <w:rsid w:val="00221320"/>
    <w:rsid w:val="00222111"/>
    <w:rsid w:val="00222451"/>
    <w:rsid w:val="002224D2"/>
    <w:rsid w:val="002225A4"/>
    <w:rsid w:val="00223656"/>
    <w:rsid w:val="002242D9"/>
    <w:rsid w:val="00224530"/>
    <w:rsid w:val="002249AC"/>
    <w:rsid w:val="002261F0"/>
    <w:rsid w:val="0022664B"/>
    <w:rsid w:val="002268AB"/>
    <w:rsid w:val="002305BC"/>
    <w:rsid w:val="0023074E"/>
    <w:rsid w:val="00231C96"/>
    <w:rsid w:val="0023304A"/>
    <w:rsid w:val="002348E6"/>
    <w:rsid w:val="00235E01"/>
    <w:rsid w:val="002362F6"/>
    <w:rsid w:val="002367B9"/>
    <w:rsid w:val="002374C3"/>
    <w:rsid w:val="00237662"/>
    <w:rsid w:val="00237C13"/>
    <w:rsid w:val="0024055D"/>
    <w:rsid w:val="00240DEA"/>
    <w:rsid w:val="00241945"/>
    <w:rsid w:val="00241D58"/>
    <w:rsid w:val="002424F6"/>
    <w:rsid w:val="002431C2"/>
    <w:rsid w:val="00243C77"/>
    <w:rsid w:val="002452CA"/>
    <w:rsid w:val="002455AB"/>
    <w:rsid w:val="0024588B"/>
    <w:rsid w:val="00246CDC"/>
    <w:rsid w:val="002471D6"/>
    <w:rsid w:val="00247A72"/>
    <w:rsid w:val="00247C92"/>
    <w:rsid w:val="00247E5A"/>
    <w:rsid w:val="00250005"/>
    <w:rsid w:val="00250839"/>
    <w:rsid w:val="002512FF"/>
    <w:rsid w:val="00251659"/>
    <w:rsid w:val="00251B37"/>
    <w:rsid w:val="00252801"/>
    <w:rsid w:val="00252B23"/>
    <w:rsid w:val="00252CD7"/>
    <w:rsid w:val="00252F43"/>
    <w:rsid w:val="00254169"/>
    <w:rsid w:val="00255620"/>
    <w:rsid w:val="00255901"/>
    <w:rsid w:val="002616A8"/>
    <w:rsid w:val="00262F5C"/>
    <w:rsid w:val="00263582"/>
    <w:rsid w:val="002635A1"/>
    <w:rsid w:val="00264940"/>
    <w:rsid w:val="00264B55"/>
    <w:rsid w:val="00265571"/>
    <w:rsid w:val="00265EEB"/>
    <w:rsid w:val="002663E4"/>
    <w:rsid w:val="002665C1"/>
    <w:rsid w:val="00267508"/>
    <w:rsid w:val="00267CCD"/>
    <w:rsid w:val="002702AA"/>
    <w:rsid w:val="00270C2D"/>
    <w:rsid w:val="00271F9A"/>
    <w:rsid w:val="00273997"/>
    <w:rsid w:val="002748B2"/>
    <w:rsid w:val="00274B24"/>
    <w:rsid w:val="0027541A"/>
    <w:rsid w:val="00275D22"/>
    <w:rsid w:val="00276587"/>
    <w:rsid w:val="0027757D"/>
    <w:rsid w:val="00280A9C"/>
    <w:rsid w:val="00281217"/>
    <w:rsid w:val="0028140F"/>
    <w:rsid w:val="00281747"/>
    <w:rsid w:val="00282418"/>
    <w:rsid w:val="00282A7A"/>
    <w:rsid w:val="00282B50"/>
    <w:rsid w:val="00283670"/>
    <w:rsid w:val="0028465C"/>
    <w:rsid w:val="00284CA5"/>
    <w:rsid w:val="0028504F"/>
    <w:rsid w:val="00285690"/>
    <w:rsid w:val="00285A29"/>
    <w:rsid w:val="00286672"/>
    <w:rsid w:val="002867C6"/>
    <w:rsid w:val="00290A5C"/>
    <w:rsid w:val="002914E3"/>
    <w:rsid w:val="00291AC8"/>
    <w:rsid w:val="00292047"/>
    <w:rsid w:val="0029266A"/>
    <w:rsid w:val="00293579"/>
    <w:rsid w:val="00293968"/>
    <w:rsid w:val="002962D3"/>
    <w:rsid w:val="00297817"/>
    <w:rsid w:val="002A053D"/>
    <w:rsid w:val="002A0CFB"/>
    <w:rsid w:val="002A14AC"/>
    <w:rsid w:val="002A1B72"/>
    <w:rsid w:val="002A224E"/>
    <w:rsid w:val="002A2C64"/>
    <w:rsid w:val="002A2DC9"/>
    <w:rsid w:val="002A504C"/>
    <w:rsid w:val="002A5F8A"/>
    <w:rsid w:val="002A6416"/>
    <w:rsid w:val="002A78D5"/>
    <w:rsid w:val="002B00DF"/>
    <w:rsid w:val="002B0531"/>
    <w:rsid w:val="002B084C"/>
    <w:rsid w:val="002B0BC7"/>
    <w:rsid w:val="002B177F"/>
    <w:rsid w:val="002B35AC"/>
    <w:rsid w:val="002B3A84"/>
    <w:rsid w:val="002B3AAF"/>
    <w:rsid w:val="002B3E6B"/>
    <w:rsid w:val="002B3E80"/>
    <w:rsid w:val="002B4383"/>
    <w:rsid w:val="002B4CDE"/>
    <w:rsid w:val="002B4D42"/>
    <w:rsid w:val="002B4F97"/>
    <w:rsid w:val="002B5330"/>
    <w:rsid w:val="002B5A9A"/>
    <w:rsid w:val="002B680D"/>
    <w:rsid w:val="002B7518"/>
    <w:rsid w:val="002C0170"/>
    <w:rsid w:val="002C08FD"/>
    <w:rsid w:val="002C09FB"/>
    <w:rsid w:val="002C0A53"/>
    <w:rsid w:val="002C0FD7"/>
    <w:rsid w:val="002C14EB"/>
    <w:rsid w:val="002C17D9"/>
    <w:rsid w:val="002C38F8"/>
    <w:rsid w:val="002C4236"/>
    <w:rsid w:val="002C4AB7"/>
    <w:rsid w:val="002C5027"/>
    <w:rsid w:val="002C5889"/>
    <w:rsid w:val="002C59BF"/>
    <w:rsid w:val="002C68F6"/>
    <w:rsid w:val="002C6A81"/>
    <w:rsid w:val="002C72EE"/>
    <w:rsid w:val="002D0075"/>
    <w:rsid w:val="002D0B5A"/>
    <w:rsid w:val="002D1968"/>
    <w:rsid w:val="002D2B8B"/>
    <w:rsid w:val="002D2DBF"/>
    <w:rsid w:val="002D44DF"/>
    <w:rsid w:val="002D4F29"/>
    <w:rsid w:val="002D4F8E"/>
    <w:rsid w:val="002D5B6E"/>
    <w:rsid w:val="002D658C"/>
    <w:rsid w:val="002D6A8E"/>
    <w:rsid w:val="002E072F"/>
    <w:rsid w:val="002E0E3F"/>
    <w:rsid w:val="002E135A"/>
    <w:rsid w:val="002E2002"/>
    <w:rsid w:val="002E2BA5"/>
    <w:rsid w:val="002E3164"/>
    <w:rsid w:val="002E34A9"/>
    <w:rsid w:val="002E3912"/>
    <w:rsid w:val="002E3A44"/>
    <w:rsid w:val="002E48B4"/>
    <w:rsid w:val="002E67B5"/>
    <w:rsid w:val="002F08E2"/>
    <w:rsid w:val="002F0EF0"/>
    <w:rsid w:val="002F1DDA"/>
    <w:rsid w:val="002F2128"/>
    <w:rsid w:val="002F2591"/>
    <w:rsid w:val="002F3917"/>
    <w:rsid w:val="002F3E5C"/>
    <w:rsid w:val="002F5E98"/>
    <w:rsid w:val="002F5E9E"/>
    <w:rsid w:val="002F74EF"/>
    <w:rsid w:val="002F7AB4"/>
    <w:rsid w:val="003033CC"/>
    <w:rsid w:val="0030361B"/>
    <w:rsid w:val="00303CBB"/>
    <w:rsid w:val="003043CB"/>
    <w:rsid w:val="00304D31"/>
    <w:rsid w:val="00304F17"/>
    <w:rsid w:val="00305B42"/>
    <w:rsid w:val="00305E58"/>
    <w:rsid w:val="00305F8C"/>
    <w:rsid w:val="00310D3A"/>
    <w:rsid w:val="00310DCC"/>
    <w:rsid w:val="00311073"/>
    <w:rsid w:val="003111DF"/>
    <w:rsid w:val="003112A6"/>
    <w:rsid w:val="00311427"/>
    <w:rsid w:val="00311C65"/>
    <w:rsid w:val="003129A3"/>
    <w:rsid w:val="00312D0F"/>
    <w:rsid w:val="003133FF"/>
    <w:rsid w:val="00313630"/>
    <w:rsid w:val="003141F4"/>
    <w:rsid w:val="003146DC"/>
    <w:rsid w:val="00315801"/>
    <w:rsid w:val="00316E75"/>
    <w:rsid w:val="00320873"/>
    <w:rsid w:val="00322216"/>
    <w:rsid w:val="00322376"/>
    <w:rsid w:val="0032283B"/>
    <w:rsid w:val="0032317F"/>
    <w:rsid w:val="003232A3"/>
    <w:rsid w:val="00324925"/>
    <w:rsid w:val="00324B74"/>
    <w:rsid w:val="00325342"/>
    <w:rsid w:val="00325424"/>
    <w:rsid w:val="00325967"/>
    <w:rsid w:val="003262DE"/>
    <w:rsid w:val="00326B40"/>
    <w:rsid w:val="0032703A"/>
    <w:rsid w:val="00327FB0"/>
    <w:rsid w:val="00330431"/>
    <w:rsid w:val="00330C54"/>
    <w:rsid w:val="00331214"/>
    <w:rsid w:val="0033188E"/>
    <w:rsid w:val="00331C77"/>
    <w:rsid w:val="003320E8"/>
    <w:rsid w:val="00333667"/>
    <w:rsid w:val="00333E95"/>
    <w:rsid w:val="003340B6"/>
    <w:rsid w:val="00335D29"/>
    <w:rsid w:val="003361D4"/>
    <w:rsid w:val="00336277"/>
    <w:rsid w:val="003372BE"/>
    <w:rsid w:val="0033786B"/>
    <w:rsid w:val="0034202B"/>
    <w:rsid w:val="00342234"/>
    <w:rsid w:val="00343BA4"/>
    <w:rsid w:val="0034520B"/>
    <w:rsid w:val="003456DB"/>
    <w:rsid w:val="00345934"/>
    <w:rsid w:val="00347213"/>
    <w:rsid w:val="00350076"/>
    <w:rsid w:val="00351304"/>
    <w:rsid w:val="00352538"/>
    <w:rsid w:val="003528B5"/>
    <w:rsid w:val="00352D97"/>
    <w:rsid w:val="003554D5"/>
    <w:rsid w:val="00355F90"/>
    <w:rsid w:val="003561EE"/>
    <w:rsid w:val="00356967"/>
    <w:rsid w:val="00357F13"/>
    <w:rsid w:val="00360220"/>
    <w:rsid w:val="003607B8"/>
    <w:rsid w:val="00360D9E"/>
    <w:rsid w:val="003610AB"/>
    <w:rsid w:val="00361CD8"/>
    <w:rsid w:val="003622ED"/>
    <w:rsid w:val="00362BE5"/>
    <w:rsid w:val="00364720"/>
    <w:rsid w:val="00364767"/>
    <w:rsid w:val="00364A4B"/>
    <w:rsid w:val="00365819"/>
    <w:rsid w:val="00365F3F"/>
    <w:rsid w:val="00366CD3"/>
    <w:rsid w:val="00367148"/>
    <w:rsid w:val="00367330"/>
    <w:rsid w:val="00371C9A"/>
    <w:rsid w:val="00371DE3"/>
    <w:rsid w:val="00372911"/>
    <w:rsid w:val="00372EE9"/>
    <w:rsid w:val="0037394C"/>
    <w:rsid w:val="0037498A"/>
    <w:rsid w:val="003768A2"/>
    <w:rsid w:val="00376FCC"/>
    <w:rsid w:val="003773C4"/>
    <w:rsid w:val="003774F7"/>
    <w:rsid w:val="00380772"/>
    <w:rsid w:val="003811A2"/>
    <w:rsid w:val="00381395"/>
    <w:rsid w:val="0038159B"/>
    <w:rsid w:val="003844C3"/>
    <w:rsid w:val="0038527D"/>
    <w:rsid w:val="00385995"/>
    <w:rsid w:val="00386255"/>
    <w:rsid w:val="00386597"/>
    <w:rsid w:val="00386794"/>
    <w:rsid w:val="003874C8"/>
    <w:rsid w:val="0039310A"/>
    <w:rsid w:val="003934DC"/>
    <w:rsid w:val="00394A56"/>
    <w:rsid w:val="003A0E0C"/>
    <w:rsid w:val="003A4AEC"/>
    <w:rsid w:val="003A4DE0"/>
    <w:rsid w:val="003A5D67"/>
    <w:rsid w:val="003A6BA3"/>
    <w:rsid w:val="003A6D0D"/>
    <w:rsid w:val="003A7337"/>
    <w:rsid w:val="003A75F6"/>
    <w:rsid w:val="003A76A7"/>
    <w:rsid w:val="003A7E2D"/>
    <w:rsid w:val="003B0055"/>
    <w:rsid w:val="003B0E5E"/>
    <w:rsid w:val="003B1BD6"/>
    <w:rsid w:val="003B21C1"/>
    <w:rsid w:val="003B44C3"/>
    <w:rsid w:val="003B49BC"/>
    <w:rsid w:val="003B5526"/>
    <w:rsid w:val="003B6A90"/>
    <w:rsid w:val="003B7244"/>
    <w:rsid w:val="003C0B67"/>
    <w:rsid w:val="003C1023"/>
    <w:rsid w:val="003C109F"/>
    <w:rsid w:val="003C1795"/>
    <w:rsid w:val="003C297C"/>
    <w:rsid w:val="003C2EC5"/>
    <w:rsid w:val="003C2F2A"/>
    <w:rsid w:val="003C46AC"/>
    <w:rsid w:val="003C4E15"/>
    <w:rsid w:val="003C57C3"/>
    <w:rsid w:val="003C594E"/>
    <w:rsid w:val="003C6910"/>
    <w:rsid w:val="003C765A"/>
    <w:rsid w:val="003C78D0"/>
    <w:rsid w:val="003D10DE"/>
    <w:rsid w:val="003D1F87"/>
    <w:rsid w:val="003D25C9"/>
    <w:rsid w:val="003D276F"/>
    <w:rsid w:val="003D4E8D"/>
    <w:rsid w:val="003D4FD8"/>
    <w:rsid w:val="003D59DA"/>
    <w:rsid w:val="003D5A1A"/>
    <w:rsid w:val="003D666F"/>
    <w:rsid w:val="003D69CE"/>
    <w:rsid w:val="003D6B43"/>
    <w:rsid w:val="003D79A6"/>
    <w:rsid w:val="003E15C5"/>
    <w:rsid w:val="003E1923"/>
    <w:rsid w:val="003E3AEA"/>
    <w:rsid w:val="003E40B2"/>
    <w:rsid w:val="003E467B"/>
    <w:rsid w:val="003F07E0"/>
    <w:rsid w:val="003F0D48"/>
    <w:rsid w:val="003F230F"/>
    <w:rsid w:val="003F3160"/>
    <w:rsid w:val="003F4048"/>
    <w:rsid w:val="003F4361"/>
    <w:rsid w:val="003F4865"/>
    <w:rsid w:val="003F49CB"/>
    <w:rsid w:val="003F4CA6"/>
    <w:rsid w:val="003F4DDF"/>
    <w:rsid w:val="003F50CF"/>
    <w:rsid w:val="003F5446"/>
    <w:rsid w:val="003F7489"/>
    <w:rsid w:val="00400DC9"/>
    <w:rsid w:val="00405DA0"/>
    <w:rsid w:val="00406E55"/>
    <w:rsid w:val="0040788E"/>
    <w:rsid w:val="004104AD"/>
    <w:rsid w:val="00410806"/>
    <w:rsid w:val="004108E8"/>
    <w:rsid w:val="00411933"/>
    <w:rsid w:val="00411B4B"/>
    <w:rsid w:val="00411E27"/>
    <w:rsid w:val="0041215B"/>
    <w:rsid w:val="00412D0C"/>
    <w:rsid w:val="00413C9F"/>
    <w:rsid w:val="0041452C"/>
    <w:rsid w:val="00414597"/>
    <w:rsid w:val="00414F5C"/>
    <w:rsid w:val="004167B6"/>
    <w:rsid w:val="004202BD"/>
    <w:rsid w:val="00420FD7"/>
    <w:rsid w:val="0042205B"/>
    <w:rsid w:val="00422C0B"/>
    <w:rsid w:val="00423754"/>
    <w:rsid w:val="004237EF"/>
    <w:rsid w:val="004239FC"/>
    <w:rsid w:val="00424CAD"/>
    <w:rsid w:val="004255BB"/>
    <w:rsid w:val="0042563D"/>
    <w:rsid w:val="00425F83"/>
    <w:rsid w:val="00426583"/>
    <w:rsid w:val="00426BF5"/>
    <w:rsid w:val="00427741"/>
    <w:rsid w:val="0043022B"/>
    <w:rsid w:val="00430522"/>
    <w:rsid w:val="0043124D"/>
    <w:rsid w:val="00431489"/>
    <w:rsid w:val="00431C14"/>
    <w:rsid w:val="00432AA4"/>
    <w:rsid w:val="00432D4C"/>
    <w:rsid w:val="004336C6"/>
    <w:rsid w:val="0043707C"/>
    <w:rsid w:val="00437164"/>
    <w:rsid w:val="0043785E"/>
    <w:rsid w:val="004378FE"/>
    <w:rsid w:val="00441612"/>
    <w:rsid w:val="00442250"/>
    <w:rsid w:val="0044322A"/>
    <w:rsid w:val="0044438C"/>
    <w:rsid w:val="004445B2"/>
    <w:rsid w:val="004473AD"/>
    <w:rsid w:val="00447702"/>
    <w:rsid w:val="0045134C"/>
    <w:rsid w:val="004523E1"/>
    <w:rsid w:val="00452634"/>
    <w:rsid w:val="00453999"/>
    <w:rsid w:val="00454040"/>
    <w:rsid w:val="00454707"/>
    <w:rsid w:val="004549E7"/>
    <w:rsid w:val="00455091"/>
    <w:rsid w:val="00455251"/>
    <w:rsid w:val="00455CE0"/>
    <w:rsid w:val="00455D4F"/>
    <w:rsid w:val="00455FFA"/>
    <w:rsid w:val="00456199"/>
    <w:rsid w:val="00456591"/>
    <w:rsid w:val="00457950"/>
    <w:rsid w:val="0046223A"/>
    <w:rsid w:val="0046226B"/>
    <w:rsid w:val="00462D1F"/>
    <w:rsid w:val="00464096"/>
    <w:rsid w:val="0046435F"/>
    <w:rsid w:val="0046484B"/>
    <w:rsid w:val="00465A5D"/>
    <w:rsid w:val="00465B2D"/>
    <w:rsid w:val="004722AF"/>
    <w:rsid w:val="00473439"/>
    <w:rsid w:val="00473E3C"/>
    <w:rsid w:val="0047479E"/>
    <w:rsid w:val="0047591A"/>
    <w:rsid w:val="00475EF8"/>
    <w:rsid w:val="0047693E"/>
    <w:rsid w:val="004773AF"/>
    <w:rsid w:val="00482138"/>
    <w:rsid w:val="004821E3"/>
    <w:rsid w:val="00482998"/>
    <w:rsid w:val="00482C34"/>
    <w:rsid w:val="00483625"/>
    <w:rsid w:val="00483A44"/>
    <w:rsid w:val="004843C6"/>
    <w:rsid w:val="0048473B"/>
    <w:rsid w:val="00485DC4"/>
    <w:rsid w:val="004863A9"/>
    <w:rsid w:val="0048660D"/>
    <w:rsid w:val="00486EA7"/>
    <w:rsid w:val="004872B6"/>
    <w:rsid w:val="00487DC6"/>
    <w:rsid w:val="00487F44"/>
    <w:rsid w:val="00490F7A"/>
    <w:rsid w:val="00490F97"/>
    <w:rsid w:val="00493FC3"/>
    <w:rsid w:val="004947E3"/>
    <w:rsid w:val="00494C86"/>
    <w:rsid w:val="004956A9"/>
    <w:rsid w:val="0049603A"/>
    <w:rsid w:val="004960B2"/>
    <w:rsid w:val="004966B7"/>
    <w:rsid w:val="0049735B"/>
    <w:rsid w:val="00497594"/>
    <w:rsid w:val="004A0D47"/>
    <w:rsid w:val="004A110C"/>
    <w:rsid w:val="004A4190"/>
    <w:rsid w:val="004A4896"/>
    <w:rsid w:val="004A6830"/>
    <w:rsid w:val="004B06D9"/>
    <w:rsid w:val="004B0921"/>
    <w:rsid w:val="004B10C6"/>
    <w:rsid w:val="004B11DD"/>
    <w:rsid w:val="004B13A4"/>
    <w:rsid w:val="004B19B2"/>
    <w:rsid w:val="004B32AA"/>
    <w:rsid w:val="004B44CD"/>
    <w:rsid w:val="004B54CD"/>
    <w:rsid w:val="004B56AC"/>
    <w:rsid w:val="004B621F"/>
    <w:rsid w:val="004B7A48"/>
    <w:rsid w:val="004B7FB5"/>
    <w:rsid w:val="004C06CB"/>
    <w:rsid w:val="004C0E55"/>
    <w:rsid w:val="004C1934"/>
    <w:rsid w:val="004C4BBF"/>
    <w:rsid w:val="004C4E89"/>
    <w:rsid w:val="004C6499"/>
    <w:rsid w:val="004C65D1"/>
    <w:rsid w:val="004C6C7F"/>
    <w:rsid w:val="004C7889"/>
    <w:rsid w:val="004C7F49"/>
    <w:rsid w:val="004D05E4"/>
    <w:rsid w:val="004D0ECA"/>
    <w:rsid w:val="004D3250"/>
    <w:rsid w:val="004D34A3"/>
    <w:rsid w:val="004D34BC"/>
    <w:rsid w:val="004D4454"/>
    <w:rsid w:val="004D4A1E"/>
    <w:rsid w:val="004D4A9B"/>
    <w:rsid w:val="004D4D4D"/>
    <w:rsid w:val="004D575B"/>
    <w:rsid w:val="004D7003"/>
    <w:rsid w:val="004D7E51"/>
    <w:rsid w:val="004E07B1"/>
    <w:rsid w:val="004E0A1A"/>
    <w:rsid w:val="004E21DB"/>
    <w:rsid w:val="004E2782"/>
    <w:rsid w:val="004E280A"/>
    <w:rsid w:val="004E29B1"/>
    <w:rsid w:val="004E3DBE"/>
    <w:rsid w:val="004E43CE"/>
    <w:rsid w:val="004E4791"/>
    <w:rsid w:val="004E4A10"/>
    <w:rsid w:val="004E4B2C"/>
    <w:rsid w:val="004F063A"/>
    <w:rsid w:val="004F0A22"/>
    <w:rsid w:val="004F0F52"/>
    <w:rsid w:val="004F1634"/>
    <w:rsid w:val="004F22FE"/>
    <w:rsid w:val="004F2A7F"/>
    <w:rsid w:val="004F2E1F"/>
    <w:rsid w:val="004F3133"/>
    <w:rsid w:val="004F4FFD"/>
    <w:rsid w:val="004F5553"/>
    <w:rsid w:val="004F5AC7"/>
    <w:rsid w:val="004F630D"/>
    <w:rsid w:val="004F6FE8"/>
    <w:rsid w:val="004F7229"/>
    <w:rsid w:val="004F7695"/>
    <w:rsid w:val="004F7797"/>
    <w:rsid w:val="005006E9"/>
    <w:rsid w:val="005018DA"/>
    <w:rsid w:val="00502EB1"/>
    <w:rsid w:val="005032B5"/>
    <w:rsid w:val="00503752"/>
    <w:rsid w:val="00503955"/>
    <w:rsid w:val="00503CBE"/>
    <w:rsid w:val="00503CC0"/>
    <w:rsid w:val="00503FE6"/>
    <w:rsid w:val="005041DB"/>
    <w:rsid w:val="00504C66"/>
    <w:rsid w:val="00504E5C"/>
    <w:rsid w:val="00504EDC"/>
    <w:rsid w:val="005053DF"/>
    <w:rsid w:val="00505A2E"/>
    <w:rsid w:val="00506655"/>
    <w:rsid w:val="005067FA"/>
    <w:rsid w:val="00506B2A"/>
    <w:rsid w:val="00506DEF"/>
    <w:rsid w:val="0050701C"/>
    <w:rsid w:val="00507484"/>
    <w:rsid w:val="0050769F"/>
    <w:rsid w:val="0051211F"/>
    <w:rsid w:val="005124BA"/>
    <w:rsid w:val="00512572"/>
    <w:rsid w:val="005147C8"/>
    <w:rsid w:val="00514CAB"/>
    <w:rsid w:val="005154E5"/>
    <w:rsid w:val="005157F0"/>
    <w:rsid w:val="00517DB7"/>
    <w:rsid w:val="005203E1"/>
    <w:rsid w:val="00520878"/>
    <w:rsid w:val="00520B85"/>
    <w:rsid w:val="00521512"/>
    <w:rsid w:val="0052307F"/>
    <w:rsid w:val="005232D0"/>
    <w:rsid w:val="00523567"/>
    <w:rsid w:val="00523C5C"/>
    <w:rsid w:val="005242CB"/>
    <w:rsid w:val="005244C1"/>
    <w:rsid w:val="005259B9"/>
    <w:rsid w:val="005262FE"/>
    <w:rsid w:val="005278F9"/>
    <w:rsid w:val="005279DB"/>
    <w:rsid w:val="00530ABC"/>
    <w:rsid w:val="0053226D"/>
    <w:rsid w:val="00532F28"/>
    <w:rsid w:val="00533448"/>
    <w:rsid w:val="00533669"/>
    <w:rsid w:val="0053375A"/>
    <w:rsid w:val="00535746"/>
    <w:rsid w:val="00535E49"/>
    <w:rsid w:val="00537272"/>
    <w:rsid w:val="00537766"/>
    <w:rsid w:val="005377A8"/>
    <w:rsid w:val="00537E65"/>
    <w:rsid w:val="005400A6"/>
    <w:rsid w:val="00540A86"/>
    <w:rsid w:val="00540AC1"/>
    <w:rsid w:val="00540DFA"/>
    <w:rsid w:val="005411A1"/>
    <w:rsid w:val="00542A80"/>
    <w:rsid w:val="00543D26"/>
    <w:rsid w:val="00543EDA"/>
    <w:rsid w:val="0054434E"/>
    <w:rsid w:val="00544F6C"/>
    <w:rsid w:val="00545BD3"/>
    <w:rsid w:val="00546861"/>
    <w:rsid w:val="00546CFC"/>
    <w:rsid w:val="00547309"/>
    <w:rsid w:val="005507CC"/>
    <w:rsid w:val="00550D5B"/>
    <w:rsid w:val="00551802"/>
    <w:rsid w:val="0055281B"/>
    <w:rsid w:val="00552CE8"/>
    <w:rsid w:val="00553591"/>
    <w:rsid w:val="005542CF"/>
    <w:rsid w:val="005544C9"/>
    <w:rsid w:val="0055455B"/>
    <w:rsid w:val="005546CC"/>
    <w:rsid w:val="005548C3"/>
    <w:rsid w:val="00554B09"/>
    <w:rsid w:val="00554BE7"/>
    <w:rsid w:val="00554C49"/>
    <w:rsid w:val="00555D3D"/>
    <w:rsid w:val="00557FEF"/>
    <w:rsid w:val="00560CAB"/>
    <w:rsid w:val="0056120D"/>
    <w:rsid w:val="00563931"/>
    <w:rsid w:val="00563FC7"/>
    <w:rsid w:val="005643AA"/>
    <w:rsid w:val="00564CA0"/>
    <w:rsid w:val="00564D37"/>
    <w:rsid w:val="00564FC5"/>
    <w:rsid w:val="00564FF7"/>
    <w:rsid w:val="005659B4"/>
    <w:rsid w:val="00565BF0"/>
    <w:rsid w:val="00565D29"/>
    <w:rsid w:val="005660B9"/>
    <w:rsid w:val="00566326"/>
    <w:rsid w:val="00566DCC"/>
    <w:rsid w:val="005672A5"/>
    <w:rsid w:val="005675C4"/>
    <w:rsid w:val="005677E1"/>
    <w:rsid w:val="00567CCF"/>
    <w:rsid w:val="005702AD"/>
    <w:rsid w:val="00571090"/>
    <w:rsid w:val="00571765"/>
    <w:rsid w:val="00571883"/>
    <w:rsid w:val="00572204"/>
    <w:rsid w:val="005725FC"/>
    <w:rsid w:val="00572EE1"/>
    <w:rsid w:val="00572F20"/>
    <w:rsid w:val="00573C4C"/>
    <w:rsid w:val="00573CD1"/>
    <w:rsid w:val="00573E53"/>
    <w:rsid w:val="005754F2"/>
    <w:rsid w:val="00575A31"/>
    <w:rsid w:val="00575F3A"/>
    <w:rsid w:val="00576201"/>
    <w:rsid w:val="00577853"/>
    <w:rsid w:val="005812FA"/>
    <w:rsid w:val="005818F2"/>
    <w:rsid w:val="005840ED"/>
    <w:rsid w:val="00586294"/>
    <w:rsid w:val="005865CB"/>
    <w:rsid w:val="00587267"/>
    <w:rsid w:val="00587F0F"/>
    <w:rsid w:val="005911E4"/>
    <w:rsid w:val="00591255"/>
    <w:rsid w:val="005918A6"/>
    <w:rsid w:val="00592584"/>
    <w:rsid w:val="00592A18"/>
    <w:rsid w:val="005938E4"/>
    <w:rsid w:val="0059429B"/>
    <w:rsid w:val="00596D84"/>
    <w:rsid w:val="005A1017"/>
    <w:rsid w:val="005A1121"/>
    <w:rsid w:val="005A1D5B"/>
    <w:rsid w:val="005A293F"/>
    <w:rsid w:val="005A2EA7"/>
    <w:rsid w:val="005A3D54"/>
    <w:rsid w:val="005A4B58"/>
    <w:rsid w:val="005A508D"/>
    <w:rsid w:val="005A50CF"/>
    <w:rsid w:val="005A53BF"/>
    <w:rsid w:val="005A5715"/>
    <w:rsid w:val="005A75AD"/>
    <w:rsid w:val="005A78A2"/>
    <w:rsid w:val="005A7FEA"/>
    <w:rsid w:val="005B0C48"/>
    <w:rsid w:val="005B1445"/>
    <w:rsid w:val="005B2D78"/>
    <w:rsid w:val="005B3914"/>
    <w:rsid w:val="005B3DAA"/>
    <w:rsid w:val="005B4230"/>
    <w:rsid w:val="005B51CF"/>
    <w:rsid w:val="005B53D8"/>
    <w:rsid w:val="005B5A21"/>
    <w:rsid w:val="005B5CFE"/>
    <w:rsid w:val="005B5E05"/>
    <w:rsid w:val="005B6C73"/>
    <w:rsid w:val="005C0118"/>
    <w:rsid w:val="005C1363"/>
    <w:rsid w:val="005C163C"/>
    <w:rsid w:val="005C20C3"/>
    <w:rsid w:val="005C252E"/>
    <w:rsid w:val="005C2B46"/>
    <w:rsid w:val="005C3017"/>
    <w:rsid w:val="005C3165"/>
    <w:rsid w:val="005C3362"/>
    <w:rsid w:val="005C34AA"/>
    <w:rsid w:val="005C368B"/>
    <w:rsid w:val="005C3E4B"/>
    <w:rsid w:val="005C408A"/>
    <w:rsid w:val="005C4D13"/>
    <w:rsid w:val="005C50E5"/>
    <w:rsid w:val="005C54BD"/>
    <w:rsid w:val="005C5556"/>
    <w:rsid w:val="005C60F1"/>
    <w:rsid w:val="005C66AB"/>
    <w:rsid w:val="005C6728"/>
    <w:rsid w:val="005C6A5F"/>
    <w:rsid w:val="005C6E6B"/>
    <w:rsid w:val="005C7FC8"/>
    <w:rsid w:val="005D01FE"/>
    <w:rsid w:val="005D08C3"/>
    <w:rsid w:val="005D1A88"/>
    <w:rsid w:val="005D278F"/>
    <w:rsid w:val="005D33FD"/>
    <w:rsid w:val="005D353F"/>
    <w:rsid w:val="005D3890"/>
    <w:rsid w:val="005D3912"/>
    <w:rsid w:val="005D420D"/>
    <w:rsid w:val="005D4D5B"/>
    <w:rsid w:val="005D4E1B"/>
    <w:rsid w:val="005D50FF"/>
    <w:rsid w:val="005E045B"/>
    <w:rsid w:val="005E3CE5"/>
    <w:rsid w:val="005E4A7D"/>
    <w:rsid w:val="005E4C5F"/>
    <w:rsid w:val="005E4DF7"/>
    <w:rsid w:val="005E54EC"/>
    <w:rsid w:val="005E596C"/>
    <w:rsid w:val="005E6FCA"/>
    <w:rsid w:val="005E7A07"/>
    <w:rsid w:val="005E7DDE"/>
    <w:rsid w:val="005F04D1"/>
    <w:rsid w:val="005F0C58"/>
    <w:rsid w:val="005F0F01"/>
    <w:rsid w:val="005F2D22"/>
    <w:rsid w:val="005F325E"/>
    <w:rsid w:val="005F3890"/>
    <w:rsid w:val="005F39C7"/>
    <w:rsid w:val="005F4184"/>
    <w:rsid w:val="005F57EE"/>
    <w:rsid w:val="005F5B86"/>
    <w:rsid w:val="005F7233"/>
    <w:rsid w:val="005F72AC"/>
    <w:rsid w:val="005F77BD"/>
    <w:rsid w:val="005F7D03"/>
    <w:rsid w:val="00600503"/>
    <w:rsid w:val="00600B41"/>
    <w:rsid w:val="00601B20"/>
    <w:rsid w:val="006024C6"/>
    <w:rsid w:val="00602F44"/>
    <w:rsid w:val="006034CD"/>
    <w:rsid w:val="00603855"/>
    <w:rsid w:val="00604A93"/>
    <w:rsid w:val="00604C2B"/>
    <w:rsid w:val="00604F8F"/>
    <w:rsid w:val="0060602D"/>
    <w:rsid w:val="00606162"/>
    <w:rsid w:val="0060719F"/>
    <w:rsid w:val="00610560"/>
    <w:rsid w:val="0061161C"/>
    <w:rsid w:val="006119CF"/>
    <w:rsid w:val="00612ABC"/>
    <w:rsid w:val="00612BC5"/>
    <w:rsid w:val="00612D6E"/>
    <w:rsid w:val="00613198"/>
    <w:rsid w:val="00613376"/>
    <w:rsid w:val="00613AC5"/>
    <w:rsid w:val="00614142"/>
    <w:rsid w:val="00614375"/>
    <w:rsid w:val="00615381"/>
    <w:rsid w:val="00615A84"/>
    <w:rsid w:val="00615CD7"/>
    <w:rsid w:val="00616258"/>
    <w:rsid w:val="00616713"/>
    <w:rsid w:val="00616C13"/>
    <w:rsid w:val="00617185"/>
    <w:rsid w:val="0062237F"/>
    <w:rsid w:val="0062238E"/>
    <w:rsid w:val="00623BFE"/>
    <w:rsid w:val="00624216"/>
    <w:rsid w:val="00624A1B"/>
    <w:rsid w:val="00624C3B"/>
    <w:rsid w:val="0062514C"/>
    <w:rsid w:val="00625645"/>
    <w:rsid w:val="006256DA"/>
    <w:rsid w:val="006259F2"/>
    <w:rsid w:val="00625A8D"/>
    <w:rsid w:val="00627603"/>
    <w:rsid w:val="00630156"/>
    <w:rsid w:val="00631BB6"/>
    <w:rsid w:val="00632427"/>
    <w:rsid w:val="006332D5"/>
    <w:rsid w:val="006334A1"/>
    <w:rsid w:val="00633D07"/>
    <w:rsid w:val="00634746"/>
    <w:rsid w:val="00634823"/>
    <w:rsid w:val="0063496E"/>
    <w:rsid w:val="006350E8"/>
    <w:rsid w:val="0063573A"/>
    <w:rsid w:val="00635909"/>
    <w:rsid w:val="00635A19"/>
    <w:rsid w:val="006375DF"/>
    <w:rsid w:val="006401D0"/>
    <w:rsid w:val="006405B0"/>
    <w:rsid w:val="00640B23"/>
    <w:rsid w:val="00640FC7"/>
    <w:rsid w:val="00641464"/>
    <w:rsid w:val="00641701"/>
    <w:rsid w:val="006436FE"/>
    <w:rsid w:val="006441E8"/>
    <w:rsid w:val="00644F5E"/>
    <w:rsid w:val="0064505B"/>
    <w:rsid w:val="00645095"/>
    <w:rsid w:val="00645430"/>
    <w:rsid w:val="00646F78"/>
    <w:rsid w:val="006470E4"/>
    <w:rsid w:val="00647345"/>
    <w:rsid w:val="00647EA9"/>
    <w:rsid w:val="00650197"/>
    <w:rsid w:val="00650440"/>
    <w:rsid w:val="006516CF"/>
    <w:rsid w:val="00651CDD"/>
    <w:rsid w:val="0065397C"/>
    <w:rsid w:val="00653A15"/>
    <w:rsid w:val="00653A16"/>
    <w:rsid w:val="00653FCA"/>
    <w:rsid w:val="00656F7C"/>
    <w:rsid w:val="00657BFB"/>
    <w:rsid w:val="006602E3"/>
    <w:rsid w:val="00660C39"/>
    <w:rsid w:val="006610DA"/>
    <w:rsid w:val="006618B2"/>
    <w:rsid w:val="00663856"/>
    <w:rsid w:val="00664A32"/>
    <w:rsid w:val="00664C87"/>
    <w:rsid w:val="00666778"/>
    <w:rsid w:val="00667AA2"/>
    <w:rsid w:val="00670170"/>
    <w:rsid w:val="00670992"/>
    <w:rsid w:val="006715CB"/>
    <w:rsid w:val="00672437"/>
    <w:rsid w:val="006732B5"/>
    <w:rsid w:val="00673CF4"/>
    <w:rsid w:val="006745B7"/>
    <w:rsid w:val="00675731"/>
    <w:rsid w:val="00676181"/>
    <w:rsid w:val="0067716B"/>
    <w:rsid w:val="00680425"/>
    <w:rsid w:val="0068103F"/>
    <w:rsid w:val="00681D49"/>
    <w:rsid w:val="0068358A"/>
    <w:rsid w:val="0068396B"/>
    <w:rsid w:val="0068402A"/>
    <w:rsid w:val="00684BCD"/>
    <w:rsid w:val="006853AD"/>
    <w:rsid w:val="00685A60"/>
    <w:rsid w:val="00685AC9"/>
    <w:rsid w:val="00685EF0"/>
    <w:rsid w:val="00687098"/>
    <w:rsid w:val="00687654"/>
    <w:rsid w:val="00687D5B"/>
    <w:rsid w:val="006914B0"/>
    <w:rsid w:val="0069191C"/>
    <w:rsid w:val="00691AD6"/>
    <w:rsid w:val="0069214F"/>
    <w:rsid w:val="006929B8"/>
    <w:rsid w:val="006936F1"/>
    <w:rsid w:val="006937C9"/>
    <w:rsid w:val="00693870"/>
    <w:rsid w:val="006940F4"/>
    <w:rsid w:val="0069488B"/>
    <w:rsid w:val="00694B41"/>
    <w:rsid w:val="006957EA"/>
    <w:rsid w:val="00696026"/>
    <w:rsid w:val="00696B9A"/>
    <w:rsid w:val="00696F17"/>
    <w:rsid w:val="006A06B1"/>
    <w:rsid w:val="006A1265"/>
    <w:rsid w:val="006A2D20"/>
    <w:rsid w:val="006A319F"/>
    <w:rsid w:val="006A33E9"/>
    <w:rsid w:val="006A4D15"/>
    <w:rsid w:val="006A5E39"/>
    <w:rsid w:val="006A7C78"/>
    <w:rsid w:val="006B05EC"/>
    <w:rsid w:val="006B0641"/>
    <w:rsid w:val="006B0A69"/>
    <w:rsid w:val="006B1288"/>
    <w:rsid w:val="006B1420"/>
    <w:rsid w:val="006B16AA"/>
    <w:rsid w:val="006B23CA"/>
    <w:rsid w:val="006B2C23"/>
    <w:rsid w:val="006B352C"/>
    <w:rsid w:val="006B3C95"/>
    <w:rsid w:val="006B403F"/>
    <w:rsid w:val="006B42EF"/>
    <w:rsid w:val="006B4CF0"/>
    <w:rsid w:val="006B5BFF"/>
    <w:rsid w:val="006B6A76"/>
    <w:rsid w:val="006C00B8"/>
    <w:rsid w:val="006C0669"/>
    <w:rsid w:val="006C0B3D"/>
    <w:rsid w:val="006C18AA"/>
    <w:rsid w:val="006C317D"/>
    <w:rsid w:val="006C3250"/>
    <w:rsid w:val="006C45A9"/>
    <w:rsid w:val="006C4A91"/>
    <w:rsid w:val="006C4CD3"/>
    <w:rsid w:val="006C5268"/>
    <w:rsid w:val="006C6247"/>
    <w:rsid w:val="006C62FD"/>
    <w:rsid w:val="006C691B"/>
    <w:rsid w:val="006C7873"/>
    <w:rsid w:val="006C788B"/>
    <w:rsid w:val="006C7FA6"/>
    <w:rsid w:val="006D0229"/>
    <w:rsid w:val="006D0EF6"/>
    <w:rsid w:val="006D1069"/>
    <w:rsid w:val="006D2763"/>
    <w:rsid w:val="006D28AC"/>
    <w:rsid w:val="006D2AD4"/>
    <w:rsid w:val="006D347B"/>
    <w:rsid w:val="006D3CAD"/>
    <w:rsid w:val="006D42B1"/>
    <w:rsid w:val="006D488E"/>
    <w:rsid w:val="006D4EC0"/>
    <w:rsid w:val="006D62B0"/>
    <w:rsid w:val="006D639D"/>
    <w:rsid w:val="006D6CEF"/>
    <w:rsid w:val="006D6F45"/>
    <w:rsid w:val="006D7BF6"/>
    <w:rsid w:val="006D7C4B"/>
    <w:rsid w:val="006D7F88"/>
    <w:rsid w:val="006E2314"/>
    <w:rsid w:val="006E4718"/>
    <w:rsid w:val="006E47AB"/>
    <w:rsid w:val="006E6C66"/>
    <w:rsid w:val="006F07FD"/>
    <w:rsid w:val="006F1747"/>
    <w:rsid w:val="006F1E62"/>
    <w:rsid w:val="006F2267"/>
    <w:rsid w:val="006F255D"/>
    <w:rsid w:val="006F39EE"/>
    <w:rsid w:val="006F6119"/>
    <w:rsid w:val="006F7B46"/>
    <w:rsid w:val="006F7DF3"/>
    <w:rsid w:val="0070080E"/>
    <w:rsid w:val="00700FA3"/>
    <w:rsid w:val="00701032"/>
    <w:rsid w:val="00701C86"/>
    <w:rsid w:val="00703D57"/>
    <w:rsid w:val="007057C0"/>
    <w:rsid w:val="007058AA"/>
    <w:rsid w:val="00706E87"/>
    <w:rsid w:val="00707464"/>
    <w:rsid w:val="00707EE1"/>
    <w:rsid w:val="00710701"/>
    <w:rsid w:val="0071081D"/>
    <w:rsid w:val="007111A2"/>
    <w:rsid w:val="00711813"/>
    <w:rsid w:val="007119D4"/>
    <w:rsid w:val="00712174"/>
    <w:rsid w:val="007121AB"/>
    <w:rsid w:val="007145E2"/>
    <w:rsid w:val="00714711"/>
    <w:rsid w:val="007155A9"/>
    <w:rsid w:val="00715613"/>
    <w:rsid w:val="00716008"/>
    <w:rsid w:val="00716703"/>
    <w:rsid w:val="00720235"/>
    <w:rsid w:val="0072110A"/>
    <w:rsid w:val="00721854"/>
    <w:rsid w:val="00722402"/>
    <w:rsid w:val="0072286A"/>
    <w:rsid w:val="00723200"/>
    <w:rsid w:val="00723275"/>
    <w:rsid w:val="00723BF4"/>
    <w:rsid w:val="00724032"/>
    <w:rsid w:val="00724175"/>
    <w:rsid w:val="00724D8C"/>
    <w:rsid w:val="0072515B"/>
    <w:rsid w:val="00726474"/>
    <w:rsid w:val="00731DD3"/>
    <w:rsid w:val="007330D9"/>
    <w:rsid w:val="007338D3"/>
    <w:rsid w:val="00733900"/>
    <w:rsid w:val="00733AD9"/>
    <w:rsid w:val="00734924"/>
    <w:rsid w:val="007354B0"/>
    <w:rsid w:val="00735CCD"/>
    <w:rsid w:val="007368EA"/>
    <w:rsid w:val="0073692F"/>
    <w:rsid w:val="00737FFD"/>
    <w:rsid w:val="00740862"/>
    <w:rsid w:val="00742237"/>
    <w:rsid w:val="00743473"/>
    <w:rsid w:val="00744256"/>
    <w:rsid w:val="00745CDB"/>
    <w:rsid w:val="007468C7"/>
    <w:rsid w:val="00746C12"/>
    <w:rsid w:val="00747020"/>
    <w:rsid w:val="0074725B"/>
    <w:rsid w:val="007500A3"/>
    <w:rsid w:val="00751943"/>
    <w:rsid w:val="007527D7"/>
    <w:rsid w:val="00752FB0"/>
    <w:rsid w:val="00752FBB"/>
    <w:rsid w:val="00753406"/>
    <w:rsid w:val="00754006"/>
    <w:rsid w:val="007540AB"/>
    <w:rsid w:val="00755B7B"/>
    <w:rsid w:val="00756033"/>
    <w:rsid w:val="00756BBF"/>
    <w:rsid w:val="0075703C"/>
    <w:rsid w:val="00757D33"/>
    <w:rsid w:val="0076163C"/>
    <w:rsid w:val="00761F88"/>
    <w:rsid w:val="00763075"/>
    <w:rsid w:val="00764777"/>
    <w:rsid w:val="00764E24"/>
    <w:rsid w:val="00765741"/>
    <w:rsid w:val="007657D3"/>
    <w:rsid w:val="00766247"/>
    <w:rsid w:val="00767B0F"/>
    <w:rsid w:val="00770610"/>
    <w:rsid w:val="00770B7E"/>
    <w:rsid w:val="007715A5"/>
    <w:rsid w:val="00772386"/>
    <w:rsid w:val="00774497"/>
    <w:rsid w:val="007764E7"/>
    <w:rsid w:val="0077749D"/>
    <w:rsid w:val="00777D03"/>
    <w:rsid w:val="0078036A"/>
    <w:rsid w:val="007813D5"/>
    <w:rsid w:val="007817DB"/>
    <w:rsid w:val="00783404"/>
    <w:rsid w:val="00783460"/>
    <w:rsid w:val="00784684"/>
    <w:rsid w:val="00784841"/>
    <w:rsid w:val="00785067"/>
    <w:rsid w:val="00785345"/>
    <w:rsid w:val="007856F0"/>
    <w:rsid w:val="00785984"/>
    <w:rsid w:val="00786896"/>
    <w:rsid w:val="00786C6C"/>
    <w:rsid w:val="00787D25"/>
    <w:rsid w:val="00790D50"/>
    <w:rsid w:val="00791B26"/>
    <w:rsid w:val="00791DF5"/>
    <w:rsid w:val="007923A8"/>
    <w:rsid w:val="00793B4C"/>
    <w:rsid w:val="00793CA4"/>
    <w:rsid w:val="00794DBB"/>
    <w:rsid w:val="00794DFF"/>
    <w:rsid w:val="007959A2"/>
    <w:rsid w:val="00796C6F"/>
    <w:rsid w:val="0079754B"/>
    <w:rsid w:val="00797CD6"/>
    <w:rsid w:val="007A0854"/>
    <w:rsid w:val="007A0965"/>
    <w:rsid w:val="007A0A38"/>
    <w:rsid w:val="007A1F73"/>
    <w:rsid w:val="007A3134"/>
    <w:rsid w:val="007A4501"/>
    <w:rsid w:val="007A4692"/>
    <w:rsid w:val="007A5111"/>
    <w:rsid w:val="007A511D"/>
    <w:rsid w:val="007A577D"/>
    <w:rsid w:val="007A6A86"/>
    <w:rsid w:val="007A7FA5"/>
    <w:rsid w:val="007B1B2E"/>
    <w:rsid w:val="007B1E50"/>
    <w:rsid w:val="007B2124"/>
    <w:rsid w:val="007B2E35"/>
    <w:rsid w:val="007B2E7F"/>
    <w:rsid w:val="007B374A"/>
    <w:rsid w:val="007B3EAE"/>
    <w:rsid w:val="007B482B"/>
    <w:rsid w:val="007B5299"/>
    <w:rsid w:val="007B7352"/>
    <w:rsid w:val="007C2440"/>
    <w:rsid w:val="007C34FA"/>
    <w:rsid w:val="007C384E"/>
    <w:rsid w:val="007C43C5"/>
    <w:rsid w:val="007C4B60"/>
    <w:rsid w:val="007C5159"/>
    <w:rsid w:val="007C585C"/>
    <w:rsid w:val="007C5A07"/>
    <w:rsid w:val="007C5DB4"/>
    <w:rsid w:val="007C6521"/>
    <w:rsid w:val="007C6F3B"/>
    <w:rsid w:val="007D00DB"/>
    <w:rsid w:val="007D035B"/>
    <w:rsid w:val="007D084B"/>
    <w:rsid w:val="007D0D74"/>
    <w:rsid w:val="007D10CD"/>
    <w:rsid w:val="007D20B4"/>
    <w:rsid w:val="007D3AC2"/>
    <w:rsid w:val="007D4DD5"/>
    <w:rsid w:val="007D5701"/>
    <w:rsid w:val="007D69BE"/>
    <w:rsid w:val="007D6BC2"/>
    <w:rsid w:val="007D6D88"/>
    <w:rsid w:val="007E1E14"/>
    <w:rsid w:val="007E4F06"/>
    <w:rsid w:val="007E5282"/>
    <w:rsid w:val="007E72F6"/>
    <w:rsid w:val="007E7690"/>
    <w:rsid w:val="007F02FC"/>
    <w:rsid w:val="007F0598"/>
    <w:rsid w:val="007F0D22"/>
    <w:rsid w:val="007F1541"/>
    <w:rsid w:val="007F243C"/>
    <w:rsid w:val="007F3534"/>
    <w:rsid w:val="007F3551"/>
    <w:rsid w:val="007F4BE5"/>
    <w:rsid w:val="007F4D16"/>
    <w:rsid w:val="007F67A9"/>
    <w:rsid w:val="007F6C59"/>
    <w:rsid w:val="007F6F5B"/>
    <w:rsid w:val="008000EA"/>
    <w:rsid w:val="00800567"/>
    <w:rsid w:val="008005BE"/>
    <w:rsid w:val="008010F1"/>
    <w:rsid w:val="00801AEB"/>
    <w:rsid w:val="008028D4"/>
    <w:rsid w:val="0080332E"/>
    <w:rsid w:val="008046CC"/>
    <w:rsid w:val="008055EC"/>
    <w:rsid w:val="008056B6"/>
    <w:rsid w:val="008058A9"/>
    <w:rsid w:val="00806583"/>
    <w:rsid w:val="008073ED"/>
    <w:rsid w:val="008102E3"/>
    <w:rsid w:val="0081040A"/>
    <w:rsid w:val="00810D67"/>
    <w:rsid w:val="008118A3"/>
    <w:rsid w:val="0081271A"/>
    <w:rsid w:val="0081284B"/>
    <w:rsid w:val="0081391A"/>
    <w:rsid w:val="00813B4E"/>
    <w:rsid w:val="0081473D"/>
    <w:rsid w:val="00815F36"/>
    <w:rsid w:val="00821C6A"/>
    <w:rsid w:val="00822679"/>
    <w:rsid w:val="00822DF6"/>
    <w:rsid w:val="00825577"/>
    <w:rsid w:val="008265D3"/>
    <w:rsid w:val="00827FB5"/>
    <w:rsid w:val="008307C3"/>
    <w:rsid w:val="00830F2C"/>
    <w:rsid w:val="008319B5"/>
    <w:rsid w:val="00831E5C"/>
    <w:rsid w:val="008323C3"/>
    <w:rsid w:val="00833D9C"/>
    <w:rsid w:val="00834656"/>
    <w:rsid w:val="00835243"/>
    <w:rsid w:val="00837528"/>
    <w:rsid w:val="0083771E"/>
    <w:rsid w:val="008402A5"/>
    <w:rsid w:val="00840CCE"/>
    <w:rsid w:val="008424B1"/>
    <w:rsid w:val="008425D5"/>
    <w:rsid w:val="008428B1"/>
    <w:rsid w:val="00842A25"/>
    <w:rsid w:val="00843953"/>
    <w:rsid w:val="00845772"/>
    <w:rsid w:val="00845DF8"/>
    <w:rsid w:val="0084754D"/>
    <w:rsid w:val="008506B3"/>
    <w:rsid w:val="008509D4"/>
    <w:rsid w:val="00850CAD"/>
    <w:rsid w:val="0085291A"/>
    <w:rsid w:val="00853538"/>
    <w:rsid w:val="00853BCE"/>
    <w:rsid w:val="00855DCB"/>
    <w:rsid w:val="008565D3"/>
    <w:rsid w:val="0085662A"/>
    <w:rsid w:val="00856851"/>
    <w:rsid w:val="0086182C"/>
    <w:rsid w:val="00862479"/>
    <w:rsid w:val="0086262D"/>
    <w:rsid w:val="008628BD"/>
    <w:rsid w:val="00862CE7"/>
    <w:rsid w:val="00865F16"/>
    <w:rsid w:val="00866343"/>
    <w:rsid w:val="00867EE4"/>
    <w:rsid w:val="008720FA"/>
    <w:rsid w:val="00873746"/>
    <w:rsid w:val="008762F0"/>
    <w:rsid w:val="0087741A"/>
    <w:rsid w:val="0087773D"/>
    <w:rsid w:val="008777FD"/>
    <w:rsid w:val="008805F6"/>
    <w:rsid w:val="00880DD8"/>
    <w:rsid w:val="00880E34"/>
    <w:rsid w:val="0088187B"/>
    <w:rsid w:val="0088236A"/>
    <w:rsid w:val="008824DA"/>
    <w:rsid w:val="00883480"/>
    <w:rsid w:val="008838F9"/>
    <w:rsid w:val="00884C0A"/>
    <w:rsid w:val="008859FA"/>
    <w:rsid w:val="008864C3"/>
    <w:rsid w:val="00887D3D"/>
    <w:rsid w:val="00890EB8"/>
    <w:rsid w:val="0089183C"/>
    <w:rsid w:val="00892886"/>
    <w:rsid w:val="008929CC"/>
    <w:rsid w:val="00893729"/>
    <w:rsid w:val="00893A06"/>
    <w:rsid w:val="00893B64"/>
    <w:rsid w:val="00894535"/>
    <w:rsid w:val="00895C51"/>
    <w:rsid w:val="00895F8C"/>
    <w:rsid w:val="00895FEB"/>
    <w:rsid w:val="008978B2"/>
    <w:rsid w:val="008A0404"/>
    <w:rsid w:val="008A38D8"/>
    <w:rsid w:val="008A4725"/>
    <w:rsid w:val="008A4760"/>
    <w:rsid w:val="008A4E7F"/>
    <w:rsid w:val="008A65C4"/>
    <w:rsid w:val="008A7123"/>
    <w:rsid w:val="008B0D51"/>
    <w:rsid w:val="008B0F7B"/>
    <w:rsid w:val="008B1639"/>
    <w:rsid w:val="008B373A"/>
    <w:rsid w:val="008B374D"/>
    <w:rsid w:val="008B3CCB"/>
    <w:rsid w:val="008B446D"/>
    <w:rsid w:val="008B5797"/>
    <w:rsid w:val="008B5AC8"/>
    <w:rsid w:val="008B6224"/>
    <w:rsid w:val="008B6CF4"/>
    <w:rsid w:val="008B6D73"/>
    <w:rsid w:val="008B7FBB"/>
    <w:rsid w:val="008C0B6E"/>
    <w:rsid w:val="008C2491"/>
    <w:rsid w:val="008C24F0"/>
    <w:rsid w:val="008C2792"/>
    <w:rsid w:val="008C2A21"/>
    <w:rsid w:val="008C2BEA"/>
    <w:rsid w:val="008C2FBB"/>
    <w:rsid w:val="008C381F"/>
    <w:rsid w:val="008C3BD8"/>
    <w:rsid w:val="008C532D"/>
    <w:rsid w:val="008C5A90"/>
    <w:rsid w:val="008C70C2"/>
    <w:rsid w:val="008C7FC7"/>
    <w:rsid w:val="008D0376"/>
    <w:rsid w:val="008D0430"/>
    <w:rsid w:val="008D2CAB"/>
    <w:rsid w:val="008D4393"/>
    <w:rsid w:val="008D4C57"/>
    <w:rsid w:val="008D54E3"/>
    <w:rsid w:val="008D6332"/>
    <w:rsid w:val="008D72D4"/>
    <w:rsid w:val="008D73D1"/>
    <w:rsid w:val="008E1F6D"/>
    <w:rsid w:val="008E2D44"/>
    <w:rsid w:val="008E2E3A"/>
    <w:rsid w:val="008E302F"/>
    <w:rsid w:val="008E40E9"/>
    <w:rsid w:val="008E42B2"/>
    <w:rsid w:val="008E4B88"/>
    <w:rsid w:val="008E6807"/>
    <w:rsid w:val="008E7BE8"/>
    <w:rsid w:val="008F10D2"/>
    <w:rsid w:val="008F1F97"/>
    <w:rsid w:val="008F29B2"/>
    <w:rsid w:val="008F2C65"/>
    <w:rsid w:val="008F36F4"/>
    <w:rsid w:val="008F422B"/>
    <w:rsid w:val="008F4238"/>
    <w:rsid w:val="008F4400"/>
    <w:rsid w:val="008F7BD0"/>
    <w:rsid w:val="00900260"/>
    <w:rsid w:val="00900E94"/>
    <w:rsid w:val="00901050"/>
    <w:rsid w:val="00901236"/>
    <w:rsid w:val="009020E5"/>
    <w:rsid w:val="00902D4A"/>
    <w:rsid w:val="00903094"/>
    <w:rsid w:val="00903311"/>
    <w:rsid w:val="0090464C"/>
    <w:rsid w:val="009052CA"/>
    <w:rsid w:val="009054DA"/>
    <w:rsid w:val="009059E4"/>
    <w:rsid w:val="009069D5"/>
    <w:rsid w:val="009076FB"/>
    <w:rsid w:val="00907BDE"/>
    <w:rsid w:val="0091053D"/>
    <w:rsid w:val="00911453"/>
    <w:rsid w:val="00912DB1"/>
    <w:rsid w:val="00914FFA"/>
    <w:rsid w:val="00915D80"/>
    <w:rsid w:val="00917001"/>
    <w:rsid w:val="00917D6F"/>
    <w:rsid w:val="00920756"/>
    <w:rsid w:val="0092106A"/>
    <w:rsid w:val="00921584"/>
    <w:rsid w:val="0092168B"/>
    <w:rsid w:val="00921B5A"/>
    <w:rsid w:val="00922197"/>
    <w:rsid w:val="009223CF"/>
    <w:rsid w:val="009231CB"/>
    <w:rsid w:val="009234C1"/>
    <w:rsid w:val="00923B04"/>
    <w:rsid w:val="00924BA6"/>
    <w:rsid w:val="00924F43"/>
    <w:rsid w:val="009263A0"/>
    <w:rsid w:val="0092667D"/>
    <w:rsid w:val="00931165"/>
    <w:rsid w:val="00931D27"/>
    <w:rsid w:val="00932802"/>
    <w:rsid w:val="0093326A"/>
    <w:rsid w:val="009342B5"/>
    <w:rsid w:val="00934C54"/>
    <w:rsid w:val="00934D47"/>
    <w:rsid w:val="00936217"/>
    <w:rsid w:val="00936C05"/>
    <w:rsid w:val="009372C4"/>
    <w:rsid w:val="00937A49"/>
    <w:rsid w:val="00937CB2"/>
    <w:rsid w:val="00937DBE"/>
    <w:rsid w:val="009406DE"/>
    <w:rsid w:val="00940BDB"/>
    <w:rsid w:val="00940C9E"/>
    <w:rsid w:val="00941302"/>
    <w:rsid w:val="009414D8"/>
    <w:rsid w:val="009420E0"/>
    <w:rsid w:val="00942151"/>
    <w:rsid w:val="00942A2E"/>
    <w:rsid w:val="009439DB"/>
    <w:rsid w:val="00947186"/>
    <w:rsid w:val="009475DF"/>
    <w:rsid w:val="00947857"/>
    <w:rsid w:val="00947DAF"/>
    <w:rsid w:val="00950294"/>
    <w:rsid w:val="0095049D"/>
    <w:rsid w:val="0095052E"/>
    <w:rsid w:val="00950689"/>
    <w:rsid w:val="00950DF1"/>
    <w:rsid w:val="00952808"/>
    <w:rsid w:val="00952E30"/>
    <w:rsid w:val="009534FF"/>
    <w:rsid w:val="00954F8C"/>
    <w:rsid w:val="00955F78"/>
    <w:rsid w:val="0095631A"/>
    <w:rsid w:val="00956FC4"/>
    <w:rsid w:val="00960EB5"/>
    <w:rsid w:val="00961F1A"/>
    <w:rsid w:val="009636A1"/>
    <w:rsid w:val="00964E05"/>
    <w:rsid w:val="009661D0"/>
    <w:rsid w:val="00967C52"/>
    <w:rsid w:val="00971181"/>
    <w:rsid w:val="009713C6"/>
    <w:rsid w:val="00971422"/>
    <w:rsid w:val="00971CCA"/>
    <w:rsid w:val="009728BF"/>
    <w:rsid w:val="00973D59"/>
    <w:rsid w:val="00974179"/>
    <w:rsid w:val="0097493D"/>
    <w:rsid w:val="00976737"/>
    <w:rsid w:val="00976805"/>
    <w:rsid w:val="00976A95"/>
    <w:rsid w:val="00976F61"/>
    <w:rsid w:val="009771AD"/>
    <w:rsid w:val="0097740E"/>
    <w:rsid w:val="009779A6"/>
    <w:rsid w:val="00977C03"/>
    <w:rsid w:val="00982044"/>
    <w:rsid w:val="0098217B"/>
    <w:rsid w:val="00982C41"/>
    <w:rsid w:val="00983FAE"/>
    <w:rsid w:val="00983FB8"/>
    <w:rsid w:val="00983FF0"/>
    <w:rsid w:val="0098479C"/>
    <w:rsid w:val="0098489A"/>
    <w:rsid w:val="00984F9C"/>
    <w:rsid w:val="009851F9"/>
    <w:rsid w:val="00985327"/>
    <w:rsid w:val="009860A6"/>
    <w:rsid w:val="00986E86"/>
    <w:rsid w:val="00986FCB"/>
    <w:rsid w:val="0098731A"/>
    <w:rsid w:val="00987440"/>
    <w:rsid w:val="00987AC8"/>
    <w:rsid w:val="00990BEB"/>
    <w:rsid w:val="00990DC1"/>
    <w:rsid w:val="0099121E"/>
    <w:rsid w:val="009920E4"/>
    <w:rsid w:val="0099213D"/>
    <w:rsid w:val="0099251B"/>
    <w:rsid w:val="00992599"/>
    <w:rsid w:val="00994419"/>
    <w:rsid w:val="00994E16"/>
    <w:rsid w:val="009953E1"/>
    <w:rsid w:val="0099586D"/>
    <w:rsid w:val="00995E42"/>
    <w:rsid w:val="0099705B"/>
    <w:rsid w:val="00997E76"/>
    <w:rsid w:val="009A0A98"/>
    <w:rsid w:val="009A1AA9"/>
    <w:rsid w:val="009A3501"/>
    <w:rsid w:val="009A35FD"/>
    <w:rsid w:val="009A37A9"/>
    <w:rsid w:val="009A3CE6"/>
    <w:rsid w:val="009A4BE4"/>
    <w:rsid w:val="009A56FF"/>
    <w:rsid w:val="009A62A0"/>
    <w:rsid w:val="009A725A"/>
    <w:rsid w:val="009B0841"/>
    <w:rsid w:val="009B1319"/>
    <w:rsid w:val="009B16A5"/>
    <w:rsid w:val="009B17F5"/>
    <w:rsid w:val="009B18D5"/>
    <w:rsid w:val="009B1DD6"/>
    <w:rsid w:val="009B1EAB"/>
    <w:rsid w:val="009B2A61"/>
    <w:rsid w:val="009B425B"/>
    <w:rsid w:val="009B43BB"/>
    <w:rsid w:val="009B453B"/>
    <w:rsid w:val="009B4D9B"/>
    <w:rsid w:val="009B4E29"/>
    <w:rsid w:val="009B5052"/>
    <w:rsid w:val="009B5C36"/>
    <w:rsid w:val="009B70D6"/>
    <w:rsid w:val="009B7356"/>
    <w:rsid w:val="009B7718"/>
    <w:rsid w:val="009C07D4"/>
    <w:rsid w:val="009C312D"/>
    <w:rsid w:val="009C4258"/>
    <w:rsid w:val="009C4620"/>
    <w:rsid w:val="009C70C5"/>
    <w:rsid w:val="009C7373"/>
    <w:rsid w:val="009C7411"/>
    <w:rsid w:val="009C7886"/>
    <w:rsid w:val="009D0A64"/>
    <w:rsid w:val="009D16BA"/>
    <w:rsid w:val="009D1853"/>
    <w:rsid w:val="009D223E"/>
    <w:rsid w:val="009D34CF"/>
    <w:rsid w:val="009D34E3"/>
    <w:rsid w:val="009D3B63"/>
    <w:rsid w:val="009D3FC9"/>
    <w:rsid w:val="009D3FEE"/>
    <w:rsid w:val="009D4252"/>
    <w:rsid w:val="009D4B45"/>
    <w:rsid w:val="009D55E0"/>
    <w:rsid w:val="009D73BB"/>
    <w:rsid w:val="009E1B22"/>
    <w:rsid w:val="009E22B4"/>
    <w:rsid w:val="009E266A"/>
    <w:rsid w:val="009E2C5B"/>
    <w:rsid w:val="009E3689"/>
    <w:rsid w:val="009E3C1E"/>
    <w:rsid w:val="009E45B3"/>
    <w:rsid w:val="009E4E1E"/>
    <w:rsid w:val="009E5CA0"/>
    <w:rsid w:val="009E6B06"/>
    <w:rsid w:val="009F0CF3"/>
    <w:rsid w:val="009F0EF7"/>
    <w:rsid w:val="009F1D66"/>
    <w:rsid w:val="009F1FD8"/>
    <w:rsid w:val="009F328A"/>
    <w:rsid w:val="009F3F55"/>
    <w:rsid w:val="009F4AAF"/>
    <w:rsid w:val="009F66F7"/>
    <w:rsid w:val="009F7875"/>
    <w:rsid w:val="009F7F1C"/>
    <w:rsid w:val="00A0107F"/>
    <w:rsid w:val="00A01376"/>
    <w:rsid w:val="00A01EAA"/>
    <w:rsid w:val="00A034AB"/>
    <w:rsid w:val="00A03957"/>
    <w:rsid w:val="00A045E4"/>
    <w:rsid w:val="00A0460E"/>
    <w:rsid w:val="00A05628"/>
    <w:rsid w:val="00A0589F"/>
    <w:rsid w:val="00A05ADA"/>
    <w:rsid w:val="00A07A12"/>
    <w:rsid w:val="00A109E3"/>
    <w:rsid w:val="00A10B30"/>
    <w:rsid w:val="00A12C96"/>
    <w:rsid w:val="00A12C9E"/>
    <w:rsid w:val="00A1399B"/>
    <w:rsid w:val="00A140C4"/>
    <w:rsid w:val="00A14EC6"/>
    <w:rsid w:val="00A151B0"/>
    <w:rsid w:val="00A15BD7"/>
    <w:rsid w:val="00A1641E"/>
    <w:rsid w:val="00A167AC"/>
    <w:rsid w:val="00A16CA1"/>
    <w:rsid w:val="00A17872"/>
    <w:rsid w:val="00A178A0"/>
    <w:rsid w:val="00A17BE1"/>
    <w:rsid w:val="00A20A5F"/>
    <w:rsid w:val="00A211D7"/>
    <w:rsid w:val="00A22CD7"/>
    <w:rsid w:val="00A2307A"/>
    <w:rsid w:val="00A2330C"/>
    <w:rsid w:val="00A23F03"/>
    <w:rsid w:val="00A2406F"/>
    <w:rsid w:val="00A245E0"/>
    <w:rsid w:val="00A252F3"/>
    <w:rsid w:val="00A26F8E"/>
    <w:rsid w:val="00A2772E"/>
    <w:rsid w:val="00A3031F"/>
    <w:rsid w:val="00A30345"/>
    <w:rsid w:val="00A30462"/>
    <w:rsid w:val="00A308B6"/>
    <w:rsid w:val="00A31099"/>
    <w:rsid w:val="00A31677"/>
    <w:rsid w:val="00A325AC"/>
    <w:rsid w:val="00A330F3"/>
    <w:rsid w:val="00A34444"/>
    <w:rsid w:val="00A35734"/>
    <w:rsid w:val="00A365B1"/>
    <w:rsid w:val="00A3684D"/>
    <w:rsid w:val="00A376D3"/>
    <w:rsid w:val="00A40E0E"/>
    <w:rsid w:val="00A413D7"/>
    <w:rsid w:val="00A417D1"/>
    <w:rsid w:val="00A41A2B"/>
    <w:rsid w:val="00A41AEE"/>
    <w:rsid w:val="00A41C8A"/>
    <w:rsid w:val="00A4204D"/>
    <w:rsid w:val="00A43039"/>
    <w:rsid w:val="00A43B8F"/>
    <w:rsid w:val="00A4403A"/>
    <w:rsid w:val="00A443BA"/>
    <w:rsid w:val="00A45775"/>
    <w:rsid w:val="00A45881"/>
    <w:rsid w:val="00A45DB0"/>
    <w:rsid w:val="00A46D94"/>
    <w:rsid w:val="00A51142"/>
    <w:rsid w:val="00A51AE8"/>
    <w:rsid w:val="00A531F4"/>
    <w:rsid w:val="00A536FC"/>
    <w:rsid w:val="00A539CA"/>
    <w:rsid w:val="00A5434B"/>
    <w:rsid w:val="00A54C3D"/>
    <w:rsid w:val="00A54C6B"/>
    <w:rsid w:val="00A5505B"/>
    <w:rsid w:val="00A56F2F"/>
    <w:rsid w:val="00A5731E"/>
    <w:rsid w:val="00A578D7"/>
    <w:rsid w:val="00A578E6"/>
    <w:rsid w:val="00A57C81"/>
    <w:rsid w:val="00A60D0A"/>
    <w:rsid w:val="00A60F1A"/>
    <w:rsid w:val="00A611D6"/>
    <w:rsid w:val="00A612B5"/>
    <w:rsid w:val="00A613B8"/>
    <w:rsid w:val="00A61490"/>
    <w:rsid w:val="00A615F7"/>
    <w:rsid w:val="00A631AE"/>
    <w:rsid w:val="00A65459"/>
    <w:rsid w:val="00A66134"/>
    <w:rsid w:val="00A666C8"/>
    <w:rsid w:val="00A66891"/>
    <w:rsid w:val="00A668F8"/>
    <w:rsid w:val="00A6784F"/>
    <w:rsid w:val="00A709B7"/>
    <w:rsid w:val="00A71C84"/>
    <w:rsid w:val="00A72693"/>
    <w:rsid w:val="00A72B90"/>
    <w:rsid w:val="00A72EB4"/>
    <w:rsid w:val="00A730D1"/>
    <w:rsid w:val="00A737A8"/>
    <w:rsid w:val="00A73921"/>
    <w:rsid w:val="00A73FB2"/>
    <w:rsid w:val="00A74E83"/>
    <w:rsid w:val="00A75933"/>
    <w:rsid w:val="00A75E24"/>
    <w:rsid w:val="00A762BE"/>
    <w:rsid w:val="00A76644"/>
    <w:rsid w:val="00A7671A"/>
    <w:rsid w:val="00A76B71"/>
    <w:rsid w:val="00A773AA"/>
    <w:rsid w:val="00A77AB5"/>
    <w:rsid w:val="00A77B4B"/>
    <w:rsid w:val="00A80BEC"/>
    <w:rsid w:val="00A80C03"/>
    <w:rsid w:val="00A80C1C"/>
    <w:rsid w:val="00A81F58"/>
    <w:rsid w:val="00A822DC"/>
    <w:rsid w:val="00A830C4"/>
    <w:rsid w:val="00A831D9"/>
    <w:rsid w:val="00A84A62"/>
    <w:rsid w:val="00A84EEC"/>
    <w:rsid w:val="00A85D67"/>
    <w:rsid w:val="00A8677E"/>
    <w:rsid w:val="00A868CC"/>
    <w:rsid w:val="00A86DFC"/>
    <w:rsid w:val="00A872B3"/>
    <w:rsid w:val="00A8735E"/>
    <w:rsid w:val="00A90559"/>
    <w:rsid w:val="00A906EA"/>
    <w:rsid w:val="00A90EAF"/>
    <w:rsid w:val="00A91C36"/>
    <w:rsid w:val="00A91EC3"/>
    <w:rsid w:val="00A92C49"/>
    <w:rsid w:val="00A94151"/>
    <w:rsid w:val="00A95000"/>
    <w:rsid w:val="00A954EF"/>
    <w:rsid w:val="00A96502"/>
    <w:rsid w:val="00A969F4"/>
    <w:rsid w:val="00AA1AA9"/>
    <w:rsid w:val="00AA209A"/>
    <w:rsid w:val="00AA2142"/>
    <w:rsid w:val="00AA27AD"/>
    <w:rsid w:val="00AA2D38"/>
    <w:rsid w:val="00AA309E"/>
    <w:rsid w:val="00AA4D75"/>
    <w:rsid w:val="00AA5861"/>
    <w:rsid w:val="00AA63EA"/>
    <w:rsid w:val="00AB03F5"/>
    <w:rsid w:val="00AB0D24"/>
    <w:rsid w:val="00AB1071"/>
    <w:rsid w:val="00AB10EF"/>
    <w:rsid w:val="00AB1149"/>
    <w:rsid w:val="00AB16B4"/>
    <w:rsid w:val="00AB18ED"/>
    <w:rsid w:val="00AB1F2F"/>
    <w:rsid w:val="00AB3FA4"/>
    <w:rsid w:val="00AB47AC"/>
    <w:rsid w:val="00AB4EA2"/>
    <w:rsid w:val="00AB5B92"/>
    <w:rsid w:val="00AB5F1D"/>
    <w:rsid w:val="00AC1256"/>
    <w:rsid w:val="00AC1445"/>
    <w:rsid w:val="00AC2257"/>
    <w:rsid w:val="00AC3559"/>
    <w:rsid w:val="00AC365C"/>
    <w:rsid w:val="00AC5A26"/>
    <w:rsid w:val="00AC5A27"/>
    <w:rsid w:val="00AC65B5"/>
    <w:rsid w:val="00AC6B45"/>
    <w:rsid w:val="00AD15A0"/>
    <w:rsid w:val="00AD1997"/>
    <w:rsid w:val="00AD2504"/>
    <w:rsid w:val="00AD3DF5"/>
    <w:rsid w:val="00AD4DE3"/>
    <w:rsid w:val="00AD4F35"/>
    <w:rsid w:val="00AD5C40"/>
    <w:rsid w:val="00AD71B4"/>
    <w:rsid w:val="00AD7E10"/>
    <w:rsid w:val="00AE0338"/>
    <w:rsid w:val="00AE1545"/>
    <w:rsid w:val="00AE1B24"/>
    <w:rsid w:val="00AE2A86"/>
    <w:rsid w:val="00AE2EF7"/>
    <w:rsid w:val="00AE33B6"/>
    <w:rsid w:val="00AE3C3A"/>
    <w:rsid w:val="00AE40C1"/>
    <w:rsid w:val="00AE40CC"/>
    <w:rsid w:val="00AE55CC"/>
    <w:rsid w:val="00AE6885"/>
    <w:rsid w:val="00AE724F"/>
    <w:rsid w:val="00AF03AF"/>
    <w:rsid w:val="00AF2C29"/>
    <w:rsid w:val="00AF2D35"/>
    <w:rsid w:val="00AF61DB"/>
    <w:rsid w:val="00B003F9"/>
    <w:rsid w:val="00B010CB"/>
    <w:rsid w:val="00B01B7E"/>
    <w:rsid w:val="00B02AD7"/>
    <w:rsid w:val="00B04308"/>
    <w:rsid w:val="00B05257"/>
    <w:rsid w:val="00B054C5"/>
    <w:rsid w:val="00B05579"/>
    <w:rsid w:val="00B0592D"/>
    <w:rsid w:val="00B06942"/>
    <w:rsid w:val="00B06AB5"/>
    <w:rsid w:val="00B07216"/>
    <w:rsid w:val="00B1310A"/>
    <w:rsid w:val="00B13861"/>
    <w:rsid w:val="00B14C71"/>
    <w:rsid w:val="00B157C4"/>
    <w:rsid w:val="00B15921"/>
    <w:rsid w:val="00B1595D"/>
    <w:rsid w:val="00B15A48"/>
    <w:rsid w:val="00B15BDF"/>
    <w:rsid w:val="00B17C42"/>
    <w:rsid w:val="00B203AB"/>
    <w:rsid w:val="00B21865"/>
    <w:rsid w:val="00B21B6E"/>
    <w:rsid w:val="00B225A9"/>
    <w:rsid w:val="00B22AD9"/>
    <w:rsid w:val="00B23619"/>
    <w:rsid w:val="00B23D2B"/>
    <w:rsid w:val="00B25805"/>
    <w:rsid w:val="00B26735"/>
    <w:rsid w:val="00B26A08"/>
    <w:rsid w:val="00B304E1"/>
    <w:rsid w:val="00B31C42"/>
    <w:rsid w:val="00B333CC"/>
    <w:rsid w:val="00B347C5"/>
    <w:rsid w:val="00B34896"/>
    <w:rsid w:val="00B34A1D"/>
    <w:rsid w:val="00B34AF3"/>
    <w:rsid w:val="00B34DD9"/>
    <w:rsid w:val="00B36175"/>
    <w:rsid w:val="00B361BA"/>
    <w:rsid w:val="00B365C6"/>
    <w:rsid w:val="00B37348"/>
    <w:rsid w:val="00B40649"/>
    <w:rsid w:val="00B41112"/>
    <w:rsid w:val="00B41958"/>
    <w:rsid w:val="00B42B36"/>
    <w:rsid w:val="00B42C43"/>
    <w:rsid w:val="00B43453"/>
    <w:rsid w:val="00B43660"/>
    <w:rsid w:val="00B439BF"/>
    <w:rsid w:val="00B4514A"/>
    <w:rsid w:val="00B462AF"/>
    <w:rsid w:val="00B46B67"/>
    <w:rsid w:val="00B46CBB"/>
    <w:rsid w:val="00B478B3"/>
    <w:rsid w:val="00B47D58"/>
    <w:rsid w:val="00B514AE"/>
    <w:rsid w:val="00B51FBC"/>
    <w:rsid w:val="00B521A7"/>
    <w:rsid w:val="00B5331D"/>
    <w:rsid w:val="00B53389"/>
    <w:rsid w:val="00B53B7E"/>
    <w:rsid w:val="00B54356"/>
    <w:rsid w:val="00B546F9"/>
    <w:rsid w:val="00B556B6"/>
    <w:rsid w:val="00B5582C"/>
    <w:rsid w:val="00B55E60"/>
    <w:rsid w:val="00B5681C"/>
    <w:rsid w:val="00B56F60"/>
    <w:rsid w:val="00B576FF"/>
    <w:rsid w:val="00B57B6E"/>
    <w:rsid w:val="00B57C34"/>
    <w:rsid w:val="00B61788"/>
    <w:rsid w:val="00B62FF8"/>
    <w:rsid w:val="00B63257"/>
    <w:rsid w:val="00B65DDE"/>
    <w:rsid w:val="00B6741C"/>
    <w:rsid w:val="00B67E06"/>
    <w:rsid w:val="00B70253"/>
    <w:rsid w:val="00B70B4E"/>
    <w:rsid w:val="00B722C8"/>
    <w:rsid w:val="00B73AB5"/>
    <w:rsid w:val="00B743C7"/>
    <w:rsid w:val="00B74BE6"/>
    <w:rsid w:val="00B765A6"/>
    <w:rsid w:val="00B77429"/>
    <w:rsid w:val="00B77A25"/>
    <w:rsid w:val="00B77A4C"/>
    <w:rsid w:val="00B8068C"/>
    <w:rsid w:val="00B8083A"/>
    <w:rsid w:val="00B80B15"/>
    <w:rsid w:val="00B8118C"/>
    <w:rsid w:val="00B812A7"/>
    <w:rsid w:val="00B81370"/>
    <w:rsid w:val="00B83103"/>
    <w:rsid w:val="00B83568"/>
    <w:rsid w:val="00B84160"/>
    <w:rsid w:val="00B84327"/>
    <w:rsid w:val="00B8488A"/>
    <w:rsid w:val="00B84B36"/>
    <w:rsid w:val="00B84EA0"/>
    <w:rsid w:val="00B862FC"/>
    <w:rsid w:val="00B86815"/>
    <w:rsid w:val="00B86BDA"/>
    <w:rsid w:val="00B8764B"/>
    <w:rsid w:val="00B90F9B"/>
    <w:rsid w:val="00B91E46"/>
    <w:rsid w:val="00B92304"/>
    <w:rsid w:val="00B92CD2"/>
    <w:rsid w:val="00B93033"/>
    <w:rsid w:val="00B95C0C"/>
    <w:rsid w:val="00B9667E"/>
    <w:rsid w:val="00B96BA7"/>
    <w:rsid w:val="00B97510"/>
    <w:rsid w:val="00B97D7C"/>
    <w:rsid w:val="00BA097B"/>
    <w:rsid w:val="00BA3742"/>
    <w:rsid w:val="00BA4487"/>
    <w:rsid w:val="00BA5DBF"/>
    <w:rsid w:val="00BB047B"/>
    <w:rsid w:val="00BB1020"/>
    <w:rsid w:val="00BB2381"/>
    <w:rsid w:val="00BB2A7C"/>
    <w:rsid w:val="00BB3A53"/>
    <w:rsid w:val="00BB3F13"/>
    <w:rsid w:val="00BB4336"/>
    <w:rsid w:val="00BB537F"/>
    <w:rsid w:val="00BB5ABE"/>
    <w:rsid w:val="00BB5C26"/>
    <w:rsid w:val="00BB64F1"/>
    <w:rsid w:val="00BB6A32"/>
    <w:rsid w:val="00BB6D9B"/>
    <w:rsid w:val="00BB74DA"/>
    <w:rsid w:val="00BC07E4"/>
    <w:rsid w:val="00BC0EBC"/>
    <w:rsid w:val="00BC263A"/>
    <w:rsid w:val="00BC28A7"/>
    <w:rsid w:val="00BC36DC"/>
    <w:rsid w:val="00BC4579"/>
    <w:rsid w:val="00BC4C42"/>
    <w:rsid w:val="00BC6CCF"/>
    <w:rsid w:val="00BD0872"/>
    <w:rsid w:val="00BD1973"/>
    <w:rsid w:val="00BD2624"/>
    <w:rsid w:val="00BD2F4D"/>
    <w:rsid w:val="00BD4744"/>
    <w:rsid w:val="00BD4C3A"/>
    <w:rsid w:val="00BD4D8F"/>
    <w:rsid w:val="00BD53A6"/>
    <w:rsid w:val="00BD5F1D"/>
    <w:rsid w:val="00BD627B"/>
    <w:rsid w:val="00BD63DE"/>
    <w:rsid w:val="00BD76DD"/>
    <w:rsid w:val="00BD7CC9"/>
    <w:rsid w:val="00BD7DC3"/>
    <w:rsid w:val="00BE01BC"/>
    <w:rsid w:val="00BE0440"/>
    <w:rsid w:val="00BE04BB"/>
    <w:rsid w:val="00BE1F76"/>
    <w:rsid w:val="00BE2131"/>
    <w:rsid w:val="00BE31EF"/>
    <w:rsid w:val="00BE3303"/>
    <w:rsid w:val="00BE3510"/>
    <w:rsid w:val="00BE3E08"/>
    <w:rsid w:val="00BE760F"/>
    <w:rsid w:val="00BE7639"/>
    <w:rsid w:val="00BE7752"/>
    <w:rsid w:val="00BF02DA"/>
    <w:rsid w:val="00BF1224"/>
    <w:rsid w:val="00BF1703"/>
    <w:rsid w:val="00BF225D"/>
    <w:rsid w:val="00BF239F"/>
    <w:rsid w:val="00BF2515"/>
    <w:rsid w:val="00BF259C"/>
    <w:rsid w:val="00BF2EAA"/>
    <w:rsid w:val="00BF3E50"/>
    <w:rsid w:val="00BF3FF9"/>
    <w:rsid w:val="00BF4898"/>
    <w:rsid w:val="00BF5211"/>
    <w:rsid w:val="00BF549A"/>
    <w:rsid w:val="00BF57B1"/>
    <w:rsid w:val="00BF6960"/>
    <w:rsid w:val="00BF7606"/>
    <w:rsid w:val="00C01278"/>
    <w:rsid w:val="00C01B2B"/>
    <w:rsid w:val="00C01F05"/>
    <w:rsid w:val="00C031B9"/>
    <w:rsid w:val="00C03B14"/>
    <w:rsid w:val="00C03B65"/>
    <w:rsid w:val="00C05A1E"/>
    <w:rsid w:val="00C12739"/>
    <w:rsid w:val="00C139DB"/>
    <w:rsid w:val="00C14E6B"/>
    <w:rsid w:val="00C154E2"/>
    <w:rsid w:val="00C16A19"/>
    <w:rsid w:val="00C16EE4"/>
    <w:rsid w:val="00C173E5"/>
    <w:rsid w:val="00C1750C"/>
    <w:rsid w:val="00C2086B"/>
    <w:rsid w:val="00C209B5"/>
    <w:rsid w:val="00C231AA"/>
    <w:rsid w:val="00C231B8"/>
    <w:rsid w:val="00C23541"/>
    <w:rsid w:val="00C24375"/>
    <w:rsid w:val="00C263B0"/>
    <w:rsid w:val="00C265CF"/>
    <w:rsid w:val="00C2668F"/>
    <w:rsid w:val="00C271C0"/>
    <w:rsid w:val="00C271D7"/>
    <w:rsid w:val="00C27A95"/>
    <w:rsid w:val="00C27CB4"/>
    <w:rsid w:val="00C307AA"/>
    <w:rsid w:val="00C32A21"/>
    <w:rsid w:val="00C32DD5"/>
    <w:rsid w:val="00C3356F"/>
    <w:rsid w:val="00C33D9C"/>
    <w:rsid w:val="00C33F90"/>
    <w:rsid w:val="00C34269"/>
    <w:rsid w:val="00C34C37"/>
    <w:rsid w:val="00C34D45"/>
    <w:rsid w:val="00C34E39"/>
    <w:rsid w:val="00C35380"/>
    <w:rsid w:val="00C35A50"/>
    <w:rsid w:val="00C35F6F"/>
    <w:rsid w:val="00C36E08"/>
    <w:rsid w:val="00C37002"/>
    <w:rsid w:val="00C411C0"/>
    <w:rsid w:val="00C43AC4"/>
    <w:rsid w:val="00C4465B"/>
    <w:rsid w:val="00C44E9F"/>
    <w:rsid w:val="00C44FE3"/>
    <w:rsid w:val="00C459CC"/>
    <w:rsid w:val="00C45A32"/>
    <w:rsid w:val="00C45B80"/>
    <w:rsid w:val="00C46EF0"/>
    <w:rsid w:val="00C4714F"/>
    <w:rsid w:val="00C47781"/>
    <w:rsid w:val="00C47CF1"/>
    <w:rsid w:val="00C51380"/>
    <w:rsid w:val="00C5193D"/>
    <w:rsid w:val="00C52BE1"/>
    <w:rsid w:val="00C52D3F"/>
    <w:rsid w:val="00C53B7B"/>
    <w:rsid w:val="00C55E35"/>
    <w:rsid w:val="00C5764D"/>
    <w:rsid w:val="00C61602"/>
    <w:rsid w:val="00C61A08"/>
    <w:rsid w:val="00C6283A"/>
    <w:rsid w:val="00C62E07"/>
    <w:rsid w:val="00C63A44"/>
    <w:rsid w:val="00C63C91"/>
    <w:rsid w:val="00C63D5D"/>
    <w:rsid w:val="00C64213"/>
    <w:rsid w:val="00C64577"/>
    <w:rsid w:val="00C65652"/>
    <w:rsid w:val="00C662EA"/>
    <w:rsid w:val="00C67425"/>
    <w:rsid w:val="00C70151"/>
    <w:rsid w:val="00C724A5"/>
    <w:rsid w:val="00C72709"/>
    <w:rsid w:val="00C72723"/>
    <w:rsid w:val="00C7290C"/>
    <w:rsid w:val="00C739BE"/>
    <w:rsid w:val="00C73F63"/>
    <w:rsid w:val="00C748DC"/>
    <w:rsid w:val="00C74CB9"/>
    <w:rsid w:val="00C75DC2"/>
    <w:rsid w:val="00C7622B"/>
    <w:rsid w:val="00C80016"/>
    <w:rsid w:val="00C83709"/>
    <w:rsid w:val="00C83920"/>
    <w:rsid w:val="00C846F6"/>
    <w:rsid w:val="00C852C5"/>
    <w:rsid w:val="00C85FD4"/>
    <w:rsid w:val="00C87395"/>
    <w:rsid w:val="00C87885"/>
    <w:rsid w:val="00C87AB3"/>
    <w:rsid w:val="00C900C4"/>
    <w:rsid w:val="00C90414"/>
    <w:rsid w:val="00C91115"/>
    <w:rsid w:val="00C917AB"/>
    <w:rsid w:val="00C926DD"/>
    <w:rsid w:val="00C92A4D"/>
    <w:rsid w:val="00C93017"/>
    <w:rsid w:val="00C931F8"/>
    <w:rsid w:val="00C9363B"/>
    <w:rsid w:val="00C93B1C"/>
    <w:rsid w:val="00C9433A"/>
    <w:rsid w:val="00C94404"/>
    <w:rsid w:val="00C95344"/>
    <w:rsid w:val="00C95870"/>
    <w:rsid w:val="00C973BE"/>
    <w:rsid w:val="00CA0096"/>
    <w:rsid w:val="00CA097D"/>
    <w:rsid w:val="00CA0B1B"/>
    <w:rsid w:val="00CA0EF9"/>
    <w:rsid w:val="00CA29DF"/>
    <w:rsid w:val="00CA2F99"/>
    <w:rsid w:val="00CA3071"/>
    <w:rsid w:val="00CA39F7"/>
    <w:rsid w:val="00CA4A75"/>
    <w:rsid w:val="00CA4D8B"/>
    <w:rsid w:val="00CA5852"/>
    <w:rsid w:val="00CA6A62"/>
    <w:rsid w:val="00CB057C"/>
    <w:rsid w:val="00CB14E6"/>
    <w:rsid w:val="00CB21F5"/>
    <w:rsid w:val="00CB2688"/>
    <w:rsid w:val="00CB3CD2"/>
    <w:rsid w:val="00CB441D"/>
    <w:rsid w:val="00CB5A24"/>
    <w:rsid w:val="00CB5A92"/>
    <w:rsid w:val="00CB5FDC"/>
    <w:rsid w:val="00CC065B"/>
    <w:rsid w:val="00CC1AB6"/>
    <w:rsid w:val="00CC1ABC"/>
    <w:rsid w:val="00CC36A2"/>
    <w:rsid w:val="00CC385B"/>
    <w:rsid w:val="00CC3B11"/>
    <w:rsid w:val="00CC449F"/>
    <w:rsid w:val="00CC49E9"/>
    <w:rsid w:val="00CC568C"/>
    <w:rsid w:val="00CC6AC1"/>
    <w:rsid w:val="00CC7194"/>
    <w:rsid w:val="00CC77F0"/>
    <w:rsid w:val="00CC7A06"/>
    <w:rsid w:val="00CD124B"/>
    <w:rsid w:val="00CD124E"/>
    <w:rsid w:val="00CD16CA"/>
    <w:rsid w:val="00CD20D2"/>
    <w:rsid w:val="00CD3F3E"/>
    <w:rsid w:val="00CD472C"/>
    <w:rsid w:val="00CD5325"/>
    <w:rsid w:val="00CD6031"/>
    <w:rsid w:val="00CD6556"/>
    <w:rsid w:val="00CD67CB"/>
    <w:rsid w:val="00CD7616"/>
    <w:rsid w:val="00CE0116"/>
    <w:rsid w:val="00CE02A8"/>
    <w:rsid w:val="00CE0301"/>
    <w:rsid w:val="00CE13B0"/>
    <w:rsid w:val="00CE1530"/>
    <w:rsid w:val="00CE1EFD"/>
    <w:rsid w:val="00CE1F76"/>
    <w:rsid w:val="00CE1F8C"/>
    <w:rsid w:val="00CE2D9B"/>
    <w:rsid w:val="00CE35F4"/>
    <w:rsid w:val="00CE459F"/>
    <w:rsid w:val="00CE480B"/>
    <w:rsid w:val="00CE485A"/>
    <w:rsid w:val="00CE49ED"/>
    <w:rsid w:val="00CE52A7"/>
    <w:rsid w:val="00CE5EAF"/>
    <w:rsid w:val="00CE6653"/>
    <w:rsid w:val="00CF0048"/>
    <w:rsid w:val="00CF00D5"/>
    <w:rsid w:val="00CF4675"/>
    <w:rsid w:val="00CF4C83"/>
    <w:rsid w:val="00CF52FC"/>
    <w:rsid w:val="00CF5DFD"/>
    <w:rsid w:val="00CF65CC"/>
    <w:rsid w:val="00CF670D"/>
    <w:rsid w:val="00CF6E62"/>
    <w:rsid w:val="00CF71F4"/>
    <w:rsid w:val="00CF722E"/>
    <w:rsid w:val="00CF792B"/>
    <w:rsid w:val="00CF795D"/>
    <w:rsid w:val="00CF7CB1"/>
    <w:rsid w:val="00D00549"/>
    <w:rsid w:val="00D012D3"/>
    <w:rsid w:val="00D0143F"/>
    <w:rsid w:val="00D01504"/>
    <w:rsid w:val="00D01AC8"/>
    <w:rsid w:val="00D020EE"/>
    <w:rsid w:val="00D0248E"/>
    <w:rsid w:val="00D038F7"/>
    <w:rsid w:val="00D04583"/>
    <w:rsid w:val="00D047F0"/>
    <w:rsid w:val="00D04888"/>
    <w:rsid w:val="00D05E29"/>
    <w:rsid w:val="00D06419"/>
    <w:rsid w:val="00D06879"/>
    <w:rsid w:val="00D06C18"/>
    <w:rsid w:val="00D06FA5"/>
    <w:rsid w:val="00D079DF"/>
    <w:rsid w:val="00D10D83"/>
    <w:rsid w:val="00D11952"/>
    <w:rsid w:val="00D1330D"/>
    <w:rsid w:val="00D133C7"/>
    <w:rsid w:val="00D14235"/>
    <w:rsid w:val="00D1439E"/>
    <w:rsid w:val="00D1471A"/>
    <w:rsid w:val="00D15A3C"/>
    <w:rsid w:val="00D16627"/>
    <w:rsid w:val="00D168CA"/>
    <w:rsid w:val="00D169A1"/>
    <w:rsid w:val="00D16CAC"/>
    <w:rsid w:val="00D17417"/>
    <w:rsid w:val="00D210DE"/>
    <w:rsid w:val="00D21283"/>
    <w:rsid w:val="00D21A3B"/>
    <w:rsid w:val="00D22486"/>
    <w:rsid w:val="00D22CB1"/>
    <w:rsid w:val="00D2465E"/>
    <w:rsid w:val="00D24E55"/>
    <w:rsid w:val="00D24E89"/>
    <w:rsid w:val="00D2519A"/>
    <w:rsid w:val="00D25545"/>
    <w:rsid w:val="00D26F49"/>
    <w:rsid w:val="00D27155"/>
    <w:rsid w:val="00D27D35"/>
    <w:rsid w:val="00D27DF5"/>
    <w:rsid w:val="00D30570"/>
    <w:rsid w:val="00D3093D"/>
    <w:rsid w:val="00D30E85"/>
    <w:rsid w:val="00D31C8A"/>
    <w:rsid w:val="00D33337"/>
    <w:rsid w:val="00D342CD"/>
    <w:rsid w:val="00D34CA1"/>
    <w:rsid w:val="00D34ED8"/>
    <w:rsid w:val="00D36297"/>
    <w:rsid w:val="00D36573"/>
    <w:rsid w:val="00D43CDD"/>
    <w:rsid w:val="00D4497F"/>
    <w:rsid w:val="00D45AA1"/>
    <w:rsid w:val="00D45F1D"/>
    <w:rsid w:val="00D47F82"/>
    <w:rsid w:val="00D50F9F"/>
    <w:rsid w:val="00D51191"/>
    <w:rsid w:val="00D51863"/>
    <w:rsid w:val="00D51F45"/>
    <w:rsid w:val="00D52284"/>
    <w:rsid w:val="00D52829"/>
    <w:rsid w:val="00D53BF4"/>
    <w:rsid w:val="00D53EFB"/>
    <w:rsid w:val="00D54F6E"/>
    <w:rsid w:val="00D5575C"/>
    <w:rsid w:val="00D559D6"/>
    <w:rsid w:val="00D55A11"/>
    <w:rsid w:val="00D55E86"/>
    <w:rsid w:val="00D5632C"/>
    <w:rsid w:val="00D5747F"/>
    <w:rsid w:val="00D5753A"/>
    <w:rsid w:val="00D60C89"/>
    <w:rsid w:val="00D6107D"/>
    <w:rsid w:val="00D61A90"/>
    <w:rsid w:val="00D6204C"/>
    <w:rsid w:val="00D6239E"/>
    <w:rsid w:val="00D63214"/>
    <w:rsid w:val="00D6359B"/>
    <w:rsid w:val="00D63695"/>
    <w:rsid w:val="00D638FA"/>
    <w:rsid w:val="00D63AD9"/>
    <w:rsid w:val="00D64344"/>
    <w:rsid w:val="00D64CBE"/>
    <w:rsid w:val="00D64EBE"/>
    <w:rsid w:val="00D65164"/>
    <w:rsid w:val="00D65ABD"/>
    <w:rsid w:val="00D6635A"/>
    <w:rsid w:val="00D66564"/>
    <w:rsid w:val="00D6692E"/>
    <w:rsid w:val="00D67569"/>
    <w:rsid w:val="00D67869"/>
    <w:rsid w:val="00D710F2"/>
    <w:rsid w:val="00D718D5"/>
    <w:rsid w:val="00D71CDC"/>
    <w:rsid w:val="00D71E70"/>
    <w:rsid w:val="00D72EC9"/>
    <w:rsid w:val="00D74478"/>
    <w:rsid w:val="00D7496E"/>
    <w:rsid w:val="00D76C98"/>
    <w:rsid w:val="00D76D42"/>
    <w:rsid w:val="00D80059"/>
    <w:rsid w:val="00D80287"/>
    <w:rsid w:val="00D8046A"/>
    <w:rsid w:val="00D81499"/>
    <w:rsid w:val="00D81CEF"/>
    <w:rsid w:val="00D85219"/>
    <w:rsid w:val="00D85285"/>
    <w:rsid w:val="00D85557"/>
    <w:rsid w:val="00D85889"/>
    <w:rsid w:val="00D87B01"/>
    <w:rsid w:val="00D92A69"/>
    <w:rsid w:val="00D937C1"/>
    <w:rsid w:val="00D93E08"/>
    <w:rsid w:val="00D94C1C"/>
    <w:rsid w:val="00D961C3"/>
    <w:rsid w:val="00D9696C"/>
    <w:rsid w:val="00D9700D"/>
    <w:rsid w:val="00DA1EAB"/>
    <w:rsid w:val="00DA45A8"/>
    <w:rsid w:val="00DA5F4B"/>
    <w:rsid w:val="00DA607A"/>
    <w:rsid w:val="00DA6C55"/>
    <w:rsid w:val="00DA6C56"/>
    <w:rsid w:val="00DA7F6F"/>
    <w:rsid w:val="00DB06A2"/>
    <w:rsid w:val="00DB07AC"/>
    <w:rsid w:val="00DB0811"/>
    <w:rsid w:val="00DB0D49"/>
    <w:rsid w:val="00DB1F8E"/>
    <w:rsid w:val="00DB266F"/>
    <w:rsid w:val="00DB285F"/>
    <w:rsid w:val="00DB28DE"/>
    <w:rsid w:val="00DB4E0A"/>
    <w:rsid w:val="00DB562E"/>
    <w:rsid w:val="00DB615C"/>
    <w:rsid w:val="00DB63B7"/>
    <w:rsid w:val="00DB787B"/>
    <w:rsid w:val="00DC02BD"/>
    <w:rsid w:val="00DC0F37"/>
    <w:rsid w:val="00DC12B2"/>
    <w:rsid w:val="00DC24FD"/>
    <w:rsid w:val="00DC2CC7"/>
    <w:rsid w:val="00DC3728"/>
    <w:rsid w:val="00DC4185"/>
    <w:rsid w:val="00DC4876"/>
    <w:rsid w:val="00DC4E7A"/>
    <w:rsid w:val="00DC5B60"/>
    <w:rsid w:val="00DC5C18"/>
    <w:rsid w:val="00DC693C"/>
    <w:rsid w:val="00DC7192"/>
    <w:rsid w:val="00DC76EC"/>
    <w:rsid w:val="00DD0995"/>
    <w:rsid w:val="00DD16E4"/>
    <w:rsid w:val="00DD1FAA"/>
    <w:rsid w:val="00DD2740"/>
    <w:rsid w:val="00DD336B"/>
    <w:rsid w:val="00DD55C9"/>
    <w:rsid w:val="00DD5BA9"/>
    <w:rsid w:val="00DD718E"/>
    <w:rsid w:val="00DD788B"/>
    <w:rsid w:val="00DD7901"/>
    <w:rsid w:val="00DE0930"/>
    <w:rsid w:val="00DE1265"/>
    <w:rsid w:val="00DE1291"/>
    <w:rsid w:val="00DE12C8"/>
    <w:rsid w:val="00DE18E4"/>
    <w:rsid w:val="00DE19CC"/>
    <w:rsid w:val="00DE3841"/>
    <w:rsid w:val="00DE4537"/>
    <w:rsid w:val="00DE46E8"/>
    <w:rsid w:val="00DE4C7B"/>
    <w:rsid w:val="00DE5ABF"/>
    <w:rsid w:val="00DE6548"/>
    <w:rsid w:val="00DE681F"/>
    <w:rsid w:val="00DE68FC"/>
    <w:rsid w:val="00DE72F5"/>
    <w:rsid w:val="00DE7500"/>
    <w:rsid w:val="00DE7CAF"/>
    <w:rsid w:val="00DF02A7"/>
    <w:rsid w:val="00DF2265"/>
    <w:rsid w:val="00DF36AB"/>
    <w:rsid w:val="00DF5974"/>
    <w:rsid w:val="00DF5CEF"/>
    <w:rsid w:val="00DF66F0"/>
    <w:rsid w:val="00DF7E4B"/>
    <w:rsid w:val="00E00171"/>
    <w:rsid w:val="00E005E5"/>
    <w:rsid w:val="00E00FD7"/>
    <w:rsid w:val="00E0105F"/>
    <w:rsid w:val="00E01823"/>
    <w:rsid w:val="00E01901"/>
    <w:rsid w:val="00E01F2C"/>
    <w:rsid w:val="00E02405"/>
    <w:rsid w:val="00E02E97"/>
    <w:rsid w:val="00E046AE"/>
    <w:rsid w:val="00E04924"/>
    <w:rsid w:val="00E05C6B"/>
    <w:rsid w:val="00E07207"/>
    <w:rsid w:val="00E10191"/>
    <w:rsid w:val="00E10A55"/>
    <w:rsid w:val="00E10CDE"/>
    <w:rsid w:val="00E10EED"/>
    <w:rsid w:val="00E13168"/>
    <w:rsid w:val="00E15AAE"/>
    <w:rsid w:val="00E15B22"/>
    <w:rsid w:val="00E15D91"/>
    <w:rsid w:val="00E1736B"/>
    <w:rsid w:val="00E177C6"/>
    <w:rsid w:val="00E17D7F"/>
    <w:rsid w:val="00E21149"/>
    <w:rsid w:val="00E21432"/>
    <w:rsid w:val="00E21D73"/>
    <w:rsid w:val="00E21D93"/>
    <w:rsid w:val="00E2295D"/>
    <w:rsid w:val="00E2305A"/>
    <w:rsid w:val="00E23D2D"/>
    <w:rsid w:val="00E241B9"/>
    <w:rsid w:val="00E247B2"/>
    <w:rsid w:val="00E25180"/>
    <w:rsid w:val="00E25C1B"/>
    <w:rsid w:val="00E26FBE"/>
    <w:rsid w:val="00E3055B"/>
    <w:rsid w:val="00E329E2"/>
    <w:rsid w:val="00E3345E"/>
    <w:rsid w:val="00E336CB"/>
    <w:rsid w:val="00E3384A"/>
    <w:rsid w:val="00E338E5"/>
    <w:rsid w:val="00E36E42"/>
    <w:rsid w:val="00E400A2"/>
    <w:rsid w:val="00E40953"/>
    <w:rsid w:val="00E41AB2"/>
    <w:rsid w:val="00E42259"/>
    <w:rsid w:val="00E427DE"/>
    <w:rsid w:val="00E42AC2"/>
    <w:rsid w:val="00E43DA5"/>
    <w:rsid w:val="00E443CA"/>
    <w:rsid w:val="00E4449F"/>
    <w:rsid w:val="00E460E2"/>
    <w:rsid w:val="00E46188"/>
    <w:rsid w:val="00E46BC4"/>
    <w:rsid w:val="00E47016"/>
    <w:rsid w:val="00E476A2"/>
    <w:rsid w:val="00E4774B"/>
    <w:rsid w:val="00E50491"/>
    <w:rsid w:val="00E51368"/>
    <w:rsid w:val="00E521AB"/>
    <w:rsid w:val="00E526FF"/>
    <w:rsid w:val="00E5425E"/>
    <w:rsid w:val="00E54C70"/>
    <w:rsid w:val="00E54E6F"/>
    <w:rsid w:val="00E55393"/>
    <w:rsid w:val="00E578AD"/>
    <w:rsid w:val="00E57DFC"/>
    <w:rsid w:val="00E606C1"/>
    <w:rsid w:val="00E6296A"/>
    <w:rsid w:val="00E6298A"/>
    <w:rsid w:val="00E62C1F"/>
    <w:rsid w:val="00E63572"/>
    <w:rsid w:val="00E6365C"/>
    <w:rsid w:val="00E64D3E"/>
    <w:rsid w:val="00E65302"/>
    <w:rsid w:val="00E65589"/>
    <w:rsid w:val="00E6558F"/>
    <w:rsid w:val="00E65C91"/>
    <w:rsid w:val="00E668FA"/>
    <w:rsid w:val="00E67298"/>
    <w:rsid w:val="00E676DB"/>
    <w:rsid w:val="00E67835"/>
    <w:rsid w:val="00E679ED"/>
    <w:rsid w:val="00E67DFE"/>
    <w:rsid w:val="00E71283"/>
    <w:rsid w:val="00E714FA"/>
    <w:rsid w:val="00E716E9"/>
    <w:rsid w:val="00E71C3E"/>
    <w:rsid w:val="00E71D7A"/>
    <w:rsid w:val="00E72D08"/>
    <w:rsid w:val="00E733E8"/>
    <w:rsid w:val="00E73AC7"/>
    <w:rsid w:val="00E7601B"/>
    <w:rsid w:val="00E77C5F"/>
    <w:rsid w:val="00E80B27"/>
    <w:rsid w:val="00E81230"/>
    <w:rsid w:val="00E82127"/>
    <w:rsid w:val="00E8296C"/>
    <w:rsid w:val="00E82F01"/>
    <w:rsid w:val="00E833A9"/>
    <w:rsid w:val="00E87862"/>
    <w:rsid w:val="00E90EDB"/>
    <w:rsid w:val="00E91BBC"/>
    <w:rsid w:val="00E92340"/>
    <w:rsid w:val="00E928E1"/>
    <w:rsid w:val="00E92BE8"/>
    <w:rsid w:val="00E937AF"/>
    <w:rsid w:val="00E93CF2"/>
    <w:rsid w:val="00E93E4B"/>
    <w:rsid w:val="00E943A3"/>
    <w:rsid w:val="00E9499E"/>
    <w:rsid w:val="00E952F0"/>
    <w:rsid w:val="00E956C9"/>
    <w:rsid w:val="00E95906"/>
    <w:rsid w:val="00E959BB"/>
    <w:rsid w:val="00E961EF"/>
    <w:rsid w:val="00E967DD"/>
    <w:rsid w:val="00E969A2"/>
    <w:rsid w:val="00E96EDA"/>
    <w:rsid w:val="00EA0771"/>
    <w:rsid w:val="00EA0EB9"/>
    <w:rsid w:val="00EA0EF9"/>
    <w:rsid w:val="00EA105C"/>
    <w:rsid w:val="00EA11B7"/>
    <w:rsid w:val="00EA16EE"/>
    <w:rsid w:val="00EA1A6A"/>
    <w:rsid w:val="00EA1C67"/>
    <w:rsid w:val="00EA5849"/>
    <w:rsid w:val="00EA6384"/>
    <w:rsid w:val="00EA72DB"/>
    <w:rsid w:val="00EA76BE"/>
    <w:rsid w:val="00EB0144"/>
    <w:rsid w:val="00EB09CE"/>
    <w:rsid w:val="00EB1E9E"/>
    <w:rsid w:val="00EB4C77"/>
    <w:rsid w:val="00EB5E72"/>
    <w:rsid w:val="00EB6F99"/>
    <w:rsid w:val="00EC043C"/>
    <w:rsid w:val="00EC05BD"/>
    <w:rsid w:val="00EC120D"/>
    <w:rsid w:val="00EC17B5"/>
    <w:rsid w:val="00EC271E"/>
    <w:rsid w:val="00EC2B6D"/>
    <w:rsid w:val="00EC3706"/>
    <w:rsid w:val="00EC4B93"/>
    <w:rsid w:val="00EC4D0E"/>
    <w:rsid w:val="00EC588C"/>
    <w:rsid w:val="00EC5FDF"/>
    <w:rsid w:val="00EC6D83"/>
    <w:rsid w:val="00EC6DCB"/>
    <w:rsid w:val="00EC6F1F"/>
    <w:rsid w:val="00EC7ED5"/>
    <w:rsid w:val="00ED014D"/>
    <w:rsid w:val="00ED1C7F"/>
    <w:rsid w:val="00ED2BED"/>
    <w:rsid w:val="00ED3020"/>
    <w:rsid w:val="00ED5600"/>
    <w:rsid w:val="00ED5996"/>
    <w:rsid w:val="00ED59CD"/>
    <w:rsid w:val="00ED5A77"/>
    <w:rsid w:val="00ED5FFB"/>
    <w:rsid w:val="00ED627D"/>
    <w:rsid w:val="00ED68D5"/>
    <w:rsid w:val="00EE1028"/>
    <w:rsid w:val="00EE2EB0"/>
    <w:rsid w:val="00EE3197"/>
    <w:rsid w:val="00EE3226"/>
    <w:rsid w:val="00EE396F"/>
    <w:rsid w:val="00EE47D1"/>
    <w:rsid w:val="00EE53D8"/>
    <w:rsid w:val="00EE540D"/>
    <w:rsid w:val="00EE560A"/>
    <w:rsid w:val="00EE5CDC"/>
    <w:rsid w:val="00EE686E"/>
    <w:rsid w:val="00EE7240"/>
    <w:rsid w:val="00EF0FA2"/>
    <w:rsid w:val="00EF18AF"/>
    <w:rsid w:val="00EF267B"/>
    <w:rsid w:val="00EF2D30"/>
    <w:rsid w:val="00EF3235"/>
    <w:rsid w:val="00EF336E"/>
    <w:rsid w:val="00EF33F8"/>
    <w:rsid w:val="00EF4316"/>
    <w:rsid w:val="00EF4B7D"/>
    <w:rsid w:val="00EF4B87"/>
    <w:rsid w:val="00EF64AC"/>
    <w:rsid w:val="00EF727A"/>
    <w:rsid w:val="00EF7A3B"/>
    <w:rsid w:val="00F001E2"/>
    <w:rsid w:val="00F00693"/>
    <w:rsid w:val="00F00AB4"/>
    <w:rsid w:val="00F00C23"/>
    <w:rsid w:val="00F00EBB"/>
    <w:rsid w:val="00F014D1"/>
    <w:rsid w:val="00F01F6C"/>
    <w:rsid w:val="00F023F2"/>
    <w:rsid w:val="00F02C5A"/>
    <w:rsid w:val="00F04DCC"/>
    <w:rsid w:val="00F04F92"/>
    <w:rsid w:val="00F05B17"/>
    <w:rsid w:val="00F05FAC"/>
    <w:rsid w:val="00F068CB"/>
    <w:rsid w:val="00F06C47"/>
    <w:rsid w:val="00F10528"/>
    <w:rsid w:val="00F10656"/>
    <w:rsid w:val="00F11528"/>
    <w:rsid w:val="00F116AC"/>
    <w:rsid w:val="00F12FA3"/>
    <w:rsid w:val="00F13932"/>
    <w:rsid w:val="00F13951"/>
    <w:rsid w:val="00F13A80"/>
    <w:rsid w:val="00F15EFE"/>
    <w:rsid w:val="00F17122"/>
    <w:rsid w:val="00F20AD7"/>
    <w:rsid w:val="00F22AD9"/>
    <w:rsid w:val="00F240AF"/>
    <w:rsid w:val="00F2565C"/>
    <w:rsid w:val="00F260AD"/>
    <w:rsid w:val="00F26AD1"/>
    <w:rsid w:val="00F273FB"/>
    <w:rsid w:val="00F27B51"/>
    <w:rsid w:val="00F31863"/>
    <w:rsid w:val="00F321F0"/>
    <w:rsid w:val="00F32513"/>
    <w:rsid w:val="00F32A3F"/>
    <w:rsid w:val="00F3325F"/>
    <w:rsid w:val="00F337DD"/>
    <w:rsid w:val="00F36ED7"/>
    <w:rsid w:val="00F4059F"/>
    <w:rsid w:val="00F405A3"/>
    <w:rsid w:val="00F40C26"/>
    <w:rsid w:val="00F41130"/>
    <w:rsid w:val="00F41393"/>
    <w:rsid w:val="00F420A3"/>
    <w:rsid w:val="00F4217D"/>
    <w:rsid w:val="00F4391E"/>
    <w:rsid w:val="00F43DD8"/>
    <w:rsid w:val="00F43EA5"/>
    <w:rsid w:val="00F445D6"/>
    <w:rsid w:val="00F445FA"/>
    <w:rsid w:val="00F44F2D"/>
    <w:rsid w:val="00F45AEA"/>
    <w:rsid w:val="00F46055"/>
    <w:rsid w:val="00F46201"/>
    <w:rsid w:val="00F47321"/>
    <w:rsid w:val="00F51B00"/>
    <w:rsid w:val="00F52AAD"/>
    <w:rsid w:val="00F53657"/>
    <w:rsid w:val="00F55C8F"/>
    <w:rsid w:val="00F5673A"/>
    <w:rsid w:val="00F56C8A"/>
    <w:rsid w:val="00F570CF"/>
    <w:rsid w:val="00F57263"/>
    <w:rsid w:val="00F572D3"/>
    <w:rsid w:val="00F601C3"/>
    <w:rsid w:val="00F615C5"/>
    <w:rsid w:val="00F6319F"/>
    <w:rsid w:val="00F63548"/>
    <w:rsid w:val="00F64EDC"/>
    <w:rsid w:val="00F65351"/>
    <w:rsid w:val="00F656B4"/>
    <w:rsid w:val="00F6736F"/>
    <w:rsid w:val="00F67DA4"/>
    <w:rsid w:val="00F71E5A"/>
    <w:rsid w:val="00F725BF"/>
    <w:rsid w:val="00F7261E"/>
    <w:rsid w:val="00F728D5"/>
    <w:rsid w:val="00F72A17"/>
    <w:rsid w:val="00F730A7"/>
    <w:rsid w:val="00F73244"/>
    <w:rsid w:val="00F73B1F"/>
    <w:rsid w:val="00F74447"/>
    <w:rsid w:val="00F74D1A"/>
    <w:rsid w:val="00F761FE"/>
    <w:rsid w:val="00F77326"/>
    <w:rsid w:val="00F776A7"/>
    <w:rsid w:val="00F81123"/>
    <w:rsid w:val="00F8131F"/>
    <w:rsid w:val="00F81856"/>
    <w:rsid w:val="00F82544"/>
    <w:rsid w:val="00F83024"/>
    <w:rsid w:val="00F8396F"/>
    <w:rsid w:val="00F84A1B"/>
    <w:rsid w:val="00F84A23"/>
    <w:rsid w:val="00F84C89"/>
    <w:rsid w:val="00F853F9"/>
    <w:rsid w:val="00F85D04"/>
    <w:rsid w:val="00F86647"/>
    <w:rsid w:val="00F904AE"/>
    <w:rsid w:val="00F90685"/>
    <w:rsid w:val="00F90B2F"/>
    <w:rsid w:val="00F9127B"/>
    <w:rsid w:val="00F92C78"/>
    <w:rsid w:val="00F9329F"/>
    <w:rsid w:val="00F93596"/>
    <w:rsid w:val="00F944E0"/>
    <w:rsid w:val="00F94DF2"/>
    <w:rsid w:val="00F9514E"/>
    <w:rsid w:val="00F95EDD"/>
    <w:rsid w:val="00F961AB"/>
    <w:rsid w:val="00F96347"/>
    <w:rsid w:val="00F96397"/>
    <w:rsid w:val="00F96469"/>
    <w:rsid w:val="00F96E0B"/>
    <w:rsid w:val="00FA04D7"/>
    <w:rsid w:val="00FA1457"/>
    <w:rsid w:val="00FA18FF"/>
    <w:rsid w:val="00FA1FCE"/>
    <w:rsid w:val="00FA3041"/>
    <w:rsid w:val="00FA33D9"/>
    <w:rsid w:val="00FA4145"/>
    <w:rsid w:val="00FA4872"/>
    <w:rsid w:val="00FA4909"/>
    <w:rsid w:val="00FA579D"/>
    <w:rsid w:val="00FA5E08"/>
    <w:rsid w:val="00FA649D"/>
    <w:rsid w:val="00FA7841"/>
    <w:rsid w:val="00FA7A0B"/>
    <w:rsid w:val="00FB15D3"/>
    <w:rsid w:val="00FB2357"/>
    <w:rsid w:val="00FB275E"/>
    <w:rsid w:val="00FB3799"/>
    <w:rsid w:val="00FB5B86"/>
    <w:rsid w:val="00FB609C"/>
    <w:rsid w:val="00FB64F1"/>
    <w:rsid w:val="00FB7A46"/>
    <w:rsid w:val="00FB7B06"/>
    <w:rsid w:val="00FC1466"/>
    <w:rsid w:val="00FC18EC"/>
    <w:rsid w:val="00FC26D3"/>
    <w:rsid w:val="00FC3B9C"/>
    <w:rsid w:val="00FC4615"/>
    <w:rsid w:val="00FC50C4"/>
    <w:rsid w:val="00FC5E6E"/>
    <w:rsid w:val="00FC6238"/>
    <w:rsid w:val="00FC6534"/>
    <w:rsid w:val="00FC676A"/>
    <w:rsid w:val="00FC6B18"/>
    <w:rsid w:val="00FC7128"/>
    <w:rsid w:val="00FC7B11"/>
    <w:rsid w:val="00FC7FCB"/>
    <w:rsid w:val="00FD0588"/>
    <w:rsid w:val="00FD0961"/>
    <w:rsid w:val="00FD0C26"/>
    <w:rsid w:val="00FD0EAD"/>
    <w:rsid w:val="00FD1886"/>
    <w:rsid w:val="00FD2729"/>
    <w:rsid w:val="00FD29A2"/>
    <w:rsid w:val="00FD3222"/>
    <w:rsid w:val="00FD474B"/>
    <w:rsid w:val="00FD50B6"/>
    <w:rsid w:val="00FD5128"/>
    <w:rsid w:val="00FD5587"/>
    <w:rsid w:val="00FD5B25"/>
    <w:rsid w:val="00FD65AD"/>
    <w:rsid w:val="00FD6A6A"/>
    <w:rsid w:val="00FD7E6B"/>
    <w:rsid w:val="00FE01D2"/>
    <w:rsid w:val="00FE0333"/>
    <w:rsid w:val="00FE0862"/>
    <w:rsid w:val="00FE1132"/>
    <w:rsid w:val="00FE1B86"/>
    <w:rsid w:val="00FE26AF"/>
    <w:rsid w:val="00FE45AC"/>
    <w:rsid w:val="00FE6560"/>
    <w:rsid w:val="00FE6769"/>
    <w:rsid w:val="00FE678B"/>
    <w:rsid w:val="00FE70DF"/>
    <w:rsid w:val="00FE7E48"/>
    <w:rsid w:val="00FF020D"/>
    <w:rsid w:val="00FF0F01"/>
    <w:rsid w:val="00FF145C"/>
    <w:rsid w:val="00FF186D"/>
    <w:rsid w:val="00FF4613"/>
    <w:rsid w:val="00FF4B3B"/>
    <w:rsid w:val="00FF4B3D"/>
    <w:rsid w:val="00FF4CEC"/>
    <w:rsid w:val="00FF547E"/>
    <w:rsid w:val="00FF59C6"/>
    <w:rsid w:val="00FF7097"/>
    <w:rsid w:val="00FF7608"/>
    <w:rsid w:val="1D6216A3"/>
    <w:rsid w:val="2DDA3EEF"/>
    <w:rsid w:val="4A637158"/>
    <w:rsid w:val="7D5907AF"/>
    <w:rsid w:val="7F9410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rules v:ext="edit">
        <o:r id="V:Rule1" type="connector" idref="#_x0000_s374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spacing w:before="120" w:line="240" w:lineRule="atLeast"/>
      <w:outlineLvl w:val="0"/>
    </w:pPr>
    <w:rPr>
      <w:rFonts w:ascii="宋体"/>
      <w:spacing w:val="6"/>
      <w:sz w:val="28"/>
      <w:szCs w:val="20"/>
    </w:rPr>
  </w:style>
  <w:style w:type="paragraph" w:styleId="3">
    <w:name w:val="heading 2"/>
    <w:basedOn w:val="1"/>
    <w:next w:val="1"/>
    <w:link w:val="39"/>
    <w:qFormat/>
    <w:uiPriority w:val="0"/>
    <w:pPr>
      <w:keepNext/>
      <w:spacing w:before="120"/>
      <w:ind w:firstLine="1168" w:firstLineChars="400"/>
      <w:outlineLvl w:val="1"/>
    </w:pPr>
    <w:rPr>
      <w:rFonts w:ascii="宋体" w:hAnsi="宋体"/>
      <w:spacing w:val="6"/>
      <w:sz w:val="28"/>
      <w:szCs w:val="20"/>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unhideWhenUsed/>
    <w:uiPriority w:val="1"/>
  </w:style>
  <w:style w:type="table" w:default="1" w:styleId="29">
    <w:name w:val="Normal Table"/>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semiHidden/>
    <w:qFormat/>
    <w:uiPriority w:val="0"/>
    <w:rPr>
      <w:b/>
      <w:bCs/>
    </w:rPr>
  </w:style>
  <w:style w:type="paragraph" w:styleId="6">
    <w:name w:val="annotation text"/>
    <w:basedOn w:val="1"/>
    <w:semiHidden/>
    <w:qFormat/>
    <w:uiPriority w:val="0"/>
    <w:pPr>
      <w:jc w:val="left"/>
    </w:pPr>
  </w:style>
  <w:style w:type="paragraph" w:styleId="7">
    <w:name w:val="Body Text First Indent"/>
    <w:basedOn w:val="8"/>
    <w:link w:val="47"/>
    <w:qFormat/>
    <w:uiPriority w:val="0"/>
    <w:pPr>
      <w:spacing w:after="120" w:line="240" w:lineRule="auto"/>
      <w:ind w:firstLine="420" w:firstLineChars="100"/>
      <w:jc w:val="both"/>
    </w:pPr>
    <w:rPr>
      <w:rFonts w:ascii="Times New Roman"/>
      <w:spacing w:val="0"/>
      <w:sz w:val="21"/>
      <w:szCs w:val="24"/>
    </w:rPr>
  </w:style>
  <w:style w:type="paragraph" w:styleId="8">
    <w:name w:val="Body Text"/>
    <w:basedOn w:val="1"/>
    <w:qFormat/>
    <w:uiPriority w:val="0"/>
    <w:pPr>
      <w:spacing w:line="460" w:lineRule="exact"/>
      <w:jc w:val="center"/>
    </w:pPr>
    <w:rPr>
      <w:rFonts w:ascii="宋体"/>
      <w:spacing w:val="6"/>
      <w:sz w:val="28"/>
      <w:szCs w:val="20"/>
    </w:rPr>
  </w:style>
  <w:style w:type="paragraph" w:styleId="9">
    <w:name w:val="Normal Indent"/>
    <w:basedOn w:val="1"/>
    <w:link w:val="48"/>
    <w:uiPriority w:val="0"/>
    <w:pPr>
      <w:ind w:firstLine="420" w:firstLineChars="200"/>
    </w:pPr>
    <w:rPr>
      <w:rFonts w:ascii="宋体" w:hAnsi="宋体"/>
      <w:szCs w:val="20"/>
    </w:rPr>
  </w:style>
  <w:style w:type="paragraph" w:styleId="10">
    <w:name w:val="caption"/>
    <w:basedOn w:val="1"/>
    <w:next w:val="1"/>
    <w:link w:val="77"/>
    <w:qFormat/>
    <w:uiPriority w:val="0"/>
    <w:rPr>
      <w:rFonts w:ascii="Arial" w:hAnsi="Arial" w:eastAsia="黑体"/>
      <w:sz w:val="20"/>
      <w:szCs w:val="20"/>
    </w:rPr>
  </w:style>
  <w:style w:type="paragraph" w:styleId="11">
    <w:name w:val="Document Map"/>
    <w:basedOn w:val="1"/>
    <w:semiHidden/>
    <w:qFormat/>
    <w:uiPriority w:val="0"/>
    <w:pPr>
      <w:shd w:val="clear" w:color="auto" w:fill="000080"/>
    </w:pPr>
  </w:style>
  <w:style w:type="paragraph" w:styleId="12">
    <w:name w:val="toa heading"/>
    <w:basedOn w:val="1"/>
    <w:next w:val="7"/>
    <w:uiPriority w:val="0"/>
    <w:pPr>
      <w:overflowPunct w:val="0"/>
      <w:autoSpaceDE w:val="0"/>
      <w:autoSpaceDN w:val="0"/>
      <w:adjustRightInd w:val="0"/>
      <w:spacing w:before="120" w:after="120" w:line="360" w:lineRule="auto"/>
      <w:ind w:firstLine="200" w:firstLineChars="200"/>
      <w:jc w:val="center"/>
      <w:textAlignment w:val="baseline"/>
    </w:pPr>
    <w:rPr>
      <w:rFonts w:ascii="Arial" w:hAnsi="Arial" w:eastAsia="黑体"/>
      <w:kern w:val="0"/>
      <w:sz w:val="44"/>
      <w:szCs w:val="20"/>
    </w:rPr>
  </w:style>
  <w:style w:type="paragraph" w:styleId="13">
    <w:name w:val="Body Text 3"/>
    <w:basedOn w:val="1"/>
    <w:uiPriority w:val="0"/>
    <w:pPr>
      <w:spacing w:after="120"/>
    </w:pPr>
    <w:rPr>
      <w:sz w:val="16"/>
      <w:szCs w:val="16"/>
    </w:rPr>
  </w:style>
  <w:style w:type="paragraph" w:styleId="14">
    <w:name w:val="Body Text Indent"/>
    <w:basedOn w:val="1"/>
    <w:uiPriority w:val="0"/>
    <w:pPr>
      <w:ind w:firstLine="630"/>
    </w:pPr>
    <w:rPr>
      <w:rFonts w:ascii="宋体"/>
      <w:spacing w:val="6"/>
      <w:sz w:val="28"/>
      <w:szCs w:val="20"/>
    </w:rPr>
  </w:style>
  <w:style w:type="paragraph" w:styleId="15">
    <w:name w:val="Block Text"/>
    <w:basedOn w:val="1"/>
    <w:qFormat/>
    <w:uiPriority w:val="0"/>
    <w:pPr>
      <w:spacing w:line="360" w:lineRule="auto"/>
      <w:ind w:left="18" w:right="259" w:firstLine="1032"/>
    </w:pPr>
    <w:rPr>
      <w:rFonts w:ascii="宋体"/>
      <w:spacing w:val="6"/>
      <w:sz w:val="28"/>
      <w:szCs w:val="20"/>
    </w:rPr>
  </w:style>
  <w:style w:type="paragraph" w:styleId="16">
    <w:name w:val="Plain Text"/>
    <w:basedOn w:val="1"/>
    <w:qFormat/>
    <w:uiPriority w:val="0"/>
    <w:rPr>
      <w:rFonts w:ascii="宋体" w:hAnsi="Courier New" w:cs="Courier New"/>
      <w:szCs w:val="21"/>
    </w:rPr>
  </w:style>
  <w:style w:type="paragraph" w:styleId="17">
    <w:name w:val="Body Text Indent 2"/>
    <w:basedOn w:val="1"/>
    <w:qFormat/>
    <w:uiPriority w:val="0"/>
    <w:pPr>
      <w:spacing w:line="520" w:lineRule="exact"/>
      <w:ind w:firstLine="705"/>
    </w:pPr>
    <w:rPr>
      <w:rFonts w:ascii="宋体"/>
      <w:sz w:val="28"/>
    </w:rPr>
  </w:style>
  <w:style w:type="paragraph" w:styleId="18">
    <w:name w:val="Balloon Text"/>
    <w:basedOn w:val="1"/>
    <w:semiHidden/>
    <w:uiPriority w:val="0"/>
    <w:rPr>
      <w:sz w:val="18"/>
      <w:szCs w:val="18"/>
    </w:rPr>
  </w:style>
  <w:style w:type="paragraph" w:styleId="19">
    <w:name w:val="footer"/>
    <w:basedOn w:val="1"/>
    <w:link w:val="32"/>
    <w:qFormat/>
    <w:uiPriority w:val="0"/>
    <w:pPr>
      <w:tabs>
        <w:tab w:val="center" w:pos="4153"/>
        <w:tab w:val="right" w:pos="8306"/>
      </w:tabs>
      <w:snapToGrid w:val="0"/>
      <w:jc w:val="left"/>
    </w:pPr>
    <w:rPr>
      <w:sz w:val="18"/>
      <w:szCs w:val="18"/>
    </w:rPr>
  </w:style>
  <w:style w:type="paragraph" w:styleId="20">
    <w:name w:val="header"/>
    <w:basedOn w:val="1"/>
    <w:link w:val="44"/>
    <w:qFormat/>
    <w:uiPriority w:val="0"/>
    <w:pPr>
      <w:pBdr>
        <w:bottom w:val="single" w:color="auto" w:sz="6" w:space="1"/>
      </w:pBdr>
      <w:tabs>
        <w:tab w:val="center" w:pos="4153"/>
        <w:tab w:val="right" w:pos="8306"/>
      </w:tabs>
      <w:snapToGrid w:val="0"/>
      <w:jc w:val="center"/>
    </w:pPr>
    <w:rPr>
      <w:sz w:val="18"/>
      <w:szCs w:val="18"/>
    </w:rPr>
  </w:style>
  <w:style w:type="paragraph" w:styleId="21">
    <w:name w:val="Body Text Indent 3"/>
    <w:basedOn w:val="1"/>
    <w:qFormat/>
    <w:uiPriority w:val="0"/>
    <w:pPr>
      <w:spacing w:line="520" w:lineRule="exact"/>
      <w:ind w:firstLine="560" w:firstLineChars="200"/>
    </w:pPr>
    <w:rPr>
      <w:rFonts w:ascii="宋体"/>
      <w:sz w:val="28"/>
    </w:rPr>
  </w:style>
  <w:style w:type="paragraph" w:styleId="22">
    <w:name w:val="Body Text 2"/>
    <w:basedOn w:val="1"/>
    <w:qFormat/>
    <w:uiPriority w:val="0"/>
    <w:pPr>
      <w:spacing w:line="600" w:lineRule="exact"/>
    </w:pPr>
    <w:rPr>
      <w:rFonts w:ascii="宋体"/>
      <w:b/>
      <w:spacing w:val="6"/>
      <w:sz w:val="28"/>
      <w:szCs w:val="20"/>
    </w:rPr>
  </w:style>
  <w:style w:type="paragraph" w:styleId="23">
    <w:name w:val="Normal (Web)"/>
    <w:basedOn w:val="1"/>
    <w:uiPriority w:val="99"/>
    <w:pPr>
      <w:widowControl/>
      <w:spacing w:before="100" w:beforeAutospacing="1" w:after="100" w:afterAutospacing="1"/>
      <w:jc w:val="left"/>
    </w:pPr>
    <w:rPr>
      <w:rFonts w:ascii="宋体" w:hAnsi="宋体"/>
      <w:kern w:val="0"/>
      <w:sz w:val="24"/>
    </w:rPr>
  </w:style>
  <w:style w:type="character" w:styleId="25">
    <w:name w:val="Strong"/>
    <w:qFormat/>
    <w:uiPriority w:val="0"/>
    <w:rPr>
      <w:b/>
      <w:bCs/>
    </w:rPr>
  </w:style>
  <w:style w:type="character" w:styleId="26">
    <w:name w:val="page number"/>
    <w:basedOn w:val="24"/>
    <w:qFormat/>
    <w:uiPriority w:val="0"/>
  </w:style>
  <w:style w:type="character" w:styleId="27">
    <w:name w:val="Hyperlink"/>
    <w:qFormat/>
    <w:uiPriority w:val="0"/>
    <w:rPr>
      <w:color w:val="3366CC"/>
      <w:u w:val="single"/>
    </w:rPr>
  </w:style>
  <w:style w:type="character" w:styleId="28">
    <w:name w:val="annotation reference"/>
    <w:semiHidden/>
    <w:qFormat/>
    <w:uiPriority w:val="0"/>
    <w:rPr>
      <w:sz w:val="21"/>
      <w:szCs w:val="21"/>
    </w:rPr>
  </w:style>
  <w:style w:type="table" w:styleId="30">
    <w:name w:val="Table Grid"/>
    <w:basedOn w:val="29"/>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31">
    <w:name w:val="Table Grid 5"/>
    <w:basedOn w:val="29"/>
    <w:qFormat/>
    <w:uiPriority w:val="0"/>
    <w:pPr>
      <w:widowControl w:val="0"/>
      <w:spacing w:line="360" w:lineRule="auto"/>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tblPr>
        <w:tblLayout w:type="fixed"/>
      </w:tblPr>
      <w:tcPr>
        <w:tcBorders>
          <w:top w:val="nil"/>
          <w:left w:val="nil"/>
          <w:bottom w:val="single" w:color="000000" w:sz="12" w:space="0"/>
          <w:right w:val="nil"/>
          <w:insideH w:val="nil"/>
          <w:insideV w:val="nil"/>
          <w:tl2br w:val="nil"/>
          <w:tr2bl w:val="nil"/>
        </w:tcBorders>
      </w:tcPr>
    </w:tblStylePr>
    <w:tblStylePr w:type="lastRow">
      <w:rPr>
        <w:b/>
        <w:bCs/>
      </w:rPr>
      <w:tblPr>
        <w:tblLayout w:type="fixed"/>
      </w:tblPr>
      <w:tcPr>
        <w:tcBorders>
          <w:top w:val="nil"/>
          <w:left w:val="nil"/>
          <w:bottom w:val="nil"/>
          <w:right w:val="nil"/>
          <w:insideH w:val="nil"/>
          <w:insideV w:val="nil"/>
          <w:tl2br w:val="nil"/>
          <w:tr2bl w:val="nil"/>
        </w:tcBorders>
      </w:tcPr>
    </w:tblStylePr>
    <w:tblStylePr w:type="lastCol">
      <w:rPr>
        <w:b/>
        <w:b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character" w:customStyle="1" w:styleId="32">
    <w:name w:val="页脚 Char"/>
    <w:link w:val="19"/>
    <w:qFormat/>
    <w:uiPriority w:val="0"/>
    <w:rPr>
      <w:kern w:val="2"/>
      <w:sz w:val="18"/>
      <w:szCs w:val="18"/>
    </w:rPr>
  </w:style>
  <w:style w:type="character" w:customStyle="1" w:styleId="33">
    <w:name w:val="表字居中 Char"/>
    <w:link w:val="34"/>
    <w:qFormat/>
    <w:uiPriority w:val="0"/>
    <w:rPr>
      <w:spacing w:val="-4"/>
      <w:sz w:val="21"/>
      <w:szCs w:val="21"/>
    </w:rPr>
  </w:style>
  <w:style w:type="paragraph" w:customStyle="1" w:styleId="34">
    <w:name w:val="表字居中"/>
    <w:basedOn w:val="1"/>
    <w:link w:val="33"/>
    <w:uiPriority w:val="0"/>
    <w:pPr>
      <w:jc w:val="center"/>
    </w:pPr>
    <w:rPr>
      <w:spacing w:val="-4"/>
      <w:kern w:val="0"/>
      <w:szCs w:val="21"/>
    </w:rPr>
  </w:style>
  <w:style w:type="character" w:customStyle="1" w:styleId="35">
    <w:name w:val="lemmatitleh1"/>
    <w:basedOn w:val="24"/>
    <w:qFormat/>
    <w:uiPriority w:val="0"/>
  </w:style>
  <w:style w:type="character" w:customStyle="1" w:styleId="36">
    <w:name w:val="样式2 Char"/>
    <w:link w:val="37"/>
    <w:qFormat/>
    <w:uiPriority w:val="0"/>
    <w:rPr>
      <w:rFonts w:eastAsia="宋体"/>
      <w:kern w:val="2"/>
      <w:sz w:val="24"/>
      <w:szCs w:val="24"/>
      <w:lang w:val="en-US" w:eastAsia="zh-CN" w:bidi="ar-SA"/>
    </w:rPr>
  </w:style>
  <w:style w:type="paragraph" w:customStyle="1" w:styleId="37">
    <w:name w:val="样式2"/>
    <w:basedOn w:val="1"/>
    <w:link w:val="36"/>
    <w:uiPriority w:val="0"/>
    <w:pPr>
      <w:spacing w:line="500" w:lineRule="exact"/>
      <w:ind w:firstLine="480" w:firstLineChars="200"/>
      <w:textAlignment w:val="baseline"/>
    </w:pPr>
    <w:rPr>
      <w:sz w:val="24"/>
    </w:rPr>
  </w:style>
  <w:style w:type="character" w:customStyle="1" w:styleId="38">
    <w:name w:val="apple-style-span"/>
    <w:basedOn w:val="24"/>
    <w:qFormat/>
    <w:uiPriority w:val="0"/>
  </w:style>
  <w:style w:type="character" w:customStyle="1" w:styleId="39">
    <w:name w:val="标题 2 Char"/>
    <w:link w:val="3"/>
    <w:qFormat/>
    <w:uiPriority w:val="0"/>
    <w:rPr>
      <w:rFonts w:ascii="宋体" w:hAnsi="宋体" w:eastAsia="宋体"/>
      <w:spacing w:val="6"/>
      <w:kern w:val="2"/>
      <w:sz w:val="28"/>
      <w:lang w:val="en-US" w:eastAsia="zh-CN" w:bidi="ar-SA"/>
    </w:rPr>
  </w:style>
  <w:style w:type="character" w:customStyle="1" w:styleId="40">
    <w:name w:val="表格文字 Char Char"/>
    <w:link w:val="41"/>
    <w:qFormat/>
    <w:uiPriority w:val="0"/>
    <w:rPr>
      <w:rFonts w:ascii="宋体" w:hAnsi="宋体" w:cs="宋体"/>
      <w:color w:val="000000"/>
      <w:sz w:val="24"/>
      <w:szCs w:val="21"/>
    </w:rPr>
  </w:style>
  <w:style w:type="paragraph" w:customStyle="1" w:styleId="41">
    <w:name w:val="表格文字"/>
    <w:basedOn w:val="1"/>
    <w:link w:val="40"/>
    <w:qFormat/>
    <w:uiPriority w:val="0"/>
    <w:pPr>
      <w:widowControl/>
      <w:jc w:val="center"/>
    </w:pPr>
    <w:rPr>
      <w:rFonts w:ascii="宋体" w:hAnsi="宋体"/>
      <w:color w:val="000000"/>
      <w:kern w:val="0"/>
      <w:sz w:val="24"/>
      <w:szCs w:val="21"/>
    </w:rPr>
  </w:style>
  <w:style w:type="character" w:customStyle="1" w:styleId="42">
    <w:name w:val="段落 Char"/>
    <w:link w:val="43"/>
    <w:qFormat/>
    <w:locked/>
    <w:uiPriority w:val="0"/>
    <w:rPr>
      <w:rFonts w:ascii="宋体" w:eastAsia="宋体"/>
      <w:kern w:val="2"/>
      <w:sz w:val="24"/>
      <w:szCs w:val="24"/>
      <w:lang w:val="en-US" w:eastAsia="zh-CN" w:bidi="ar-SA"/>
    </w:rPr>
  </w:style>
  <w:style w:type="paragraph" w:customStyle="1" w:styleId="43">
    <w:name w:val="段落"/>
    <w:basedOn w:val="1"/>
    <w:link w:val="42"/>
    <w:uiPriority w:val="0"/>
    <w:pPr>
      <w:tabs>
        <w:tab w:val="left" w:pos="1021"/>
        <w:tab w:val="left" w:pos="3248"/>
      </w:tabs>
      <w:spacing w:line="520" w:lineRule="exact"/>
      <w:ind w:right="-163" w:rightChars="-51" w:firstLine="480" w:firstLineChars="200"/>
      <w:jc w:val="left"/>
    </w:pPr>
    <w:rPr>
      <w:rFonts w:ascii="宋体"/>
      <w:sz w:val="24"/>
    </w:rPr>
  </w:style>
  <w:style w:type="character" w:customStyle="1" w:styleId="44">
    <w:name w:val="页眉 Char"/>
    <w:link w:val="20"/>
    <w:qFormat/>
    <w:uiPriority w:val="0"/>
    <w:rPr>
      <w:kern w:val="2"/>
      <w:sz w:val="18"/>
      <w:szCs w:val="18"/>
    </w:rPr>
  </w:style>
  <w:style w:type="character" w:customStyle="1" w:styleId="45">
    <w:name w:val="样式 小四 黑色 行距: 固定值 26 磅 Char"/>
    <w:link w:val="46"/>
    <w:uiPriority w:val="0"/>
    <w:rPr>
      <w:rFonts w:eastAsia="宋体" w:cs="宋体"/>
      <w:color w:val="000000"/>
      <w:spacing w:val="6"/>
      <w:kern w:val="2"/>
      <w:sz w:val="24"/>
      <w:lang w:val="en-US" w:eastAsia="zh-CN" w:bidi="ar-SA"/>
    </w:rPr>
  </w:style>
  <w:style w:type="paragraph" w:customStyle="1" w:styleId="46">
    <w:name w:val="样式 小四 黑色 行距: 固定值 26 磅"/>
    <w:basedOn w:val="1"/>
    <w:link w:val="45"/>
    <w:uiPriority w:val="0"/>
    <w:pPr>
      <w:spacing w:line="520" w:lineRule="exact"/>
      <w:ind w:firstLine="509" w:firstLineChars="202"/>
    </w:pPr>
    <w:rPr>
      <w:rFonts w:cs="宋体"/>
      <w:color w:val="000000"/>
      <w:spacing w:val="6"/>
      <w:sz w:val="24"/>
      <w:szCs w:val="20"/>
    </w:rPr>
  </w:style>
  <w:style w:type="character" w:customStyle="1" w:styleId="47">
    <w:name w:val="正文首行缩进 Char"/>
    <w:link w:val="7"/>
    <w:qFormat/>
    <w:uiPriority w:val="0"/>
    <w:rPr>
      <w:kern w:val="2"/>
      <w:sz w:val="21"/>
      <w:szCs w:val="24"/>
    </w:rPr>
  </w:style>
  <w:style w:type="character" w:customStyle="1" w:styleId="48">
    <w:name w:val="正文缩进 Char"/>
    <w:link w:val="9"/>
    <w:qFormat/>
    <w:uiPriority w:val="0"/>
    <w:rPr>
      <w:rFonts w:ascii="宋体" w:hAnsi="宋体" w:eastAsia="宋体"/>
      <w:kern w:val="2"/>
      <w:sz w:val="21"/>
      <w:lang w:val="en-US" w:eastAsia="zh-CN" w:bidi="ar-SA"/>
    </w:rPr>
  </w:style>
  <w:style w:type="character" w:customStyle="1" w:styleId="49">
    <w:name w:val="正文1 Char"/>
    <w:link w:val="50"/>
    <w:qFormat/>
    <w:uiPriority w:val="0"/>
    <w:rPr>
      <w:kern w:val="2"/>
      <w:sz w:val="28"/>
    </w:rPr>
  </w:style>
  <w:style w:type="paragraph" w:customStyle="1" w:styleId="50">
    <w:name w:val="正文1"/>
    <w:basedOn w:val="1"/>
    <w:link w:val="49"/>
    <w:qFormat/>
    <w:uiPriority w:val="0"/>
    <w:pPr>
      <w:adjustRightInd w:val="0"/>
      <w:snapToGrid w:val="0"/>
      <w:spacing w:line="500" w:lineRule="atLeast"/>
      <w:ind w:firstLine="567"/>
    </w:pPr>
    <w:rPr>
      <w:sz w:val="28"/>
      <w:szCs w:val="20"/>
    </w:rPr>
  </w:style>
  <w:style w:type="character" w:customStyle="1" w:styleId="51">
    <w:name w:val="apple-converted-space"/>
    <w:basedOn w:val="24"/>
    <w:qFormat/>
    <w:uiPriority w:val="0"/>
  </w:style>
  <w:style w:type="character" w:customStyle="1" w:styleId="52">
    <w:name w:val="表文字 Char"/>
    <w:link w:val="53"/>
    <w:qFormat/>
    <w:uiPriority w:val="0"/>
    <w:rPr>
      <w:rFonts w:eastAsia="宋体"/>
      <w:sz w:val="24"/>
      <w:szCs w:val="24"/>
      <w:lang w:val="en-US" w:eastAsia="zh-CN" w:bidi="ar-SA"/>
    </w:rPr>
  </w:style>
  <w:style w:type="paragraph" w:customStyle="1" w:styleId="53">
    <w:name w:val="表文字"/>
    <w:basedOn w:val="1"/>
    <w:link w:val="52"/>
    <w:uiPriority w:val="0"/>
    <w:pPr>
      <w:overflowPunct w:val="0"/>
      <w:autoSpaceDE w:val="0"/>
      <w:autoSpaceDN w:val="0"/>
      <w:adjustRightInd w:val="0"/>
      <w:spacing w:line="240" w:lineRule="atLeast"/>
      <w:jc w:val="center"/>
      <w:textAlignment w:val="baseline"/>
    </w:pPr>
    <w:rPr>
      <w:kern w:val="0"/>
      <w:sz w:val="24"/>
    </w:rPr>
  </w:style>
  <w:style w:type="paragraph" w:customStyle="1" w:styleId="54">
    <w:name w:val="报告正文"/>
    <w:basedOn w:val="1"/>
    <w:uiPriority w:val="0"/>
    <w:pPr>
      <w:adjustRightInd w:val="0"/>
      <w:snapToGrid w:val="0"/>
      <w:spacing w:line="360" w:lineRule="auto"/>
      <w:ind w:firstLine="200" w:firstLineChars="200"/>
    </w:pPr>
    <w:rPr>
      <w:rFonts w:ascii="宋体"/>
      <w:sz w:val="24"/>
      <w:szCs w:val="20"/>
    </w:rPr>
  </w:style>
  <w:style w:type="paragraph" w:customStyle="1" w:styleId="55">
    <w:name w:val="正文（用）"/>
    <w:basedOn w:val="1"/>
    <w:uiPriority w:val="0"/>
    <w:pPr>
      <w:spacing w:line="360" w:lineRule="auto"/>
      <w:ind w:firstLine="480" w:firstLineChars="200"/>
      <w:jc w:val="left"/>
    </w:pPr>
    <w:rPr>
      <w:rFonts w:ascii="宋体" w:hAnsi="宋体" w:cs="宋体"/>
      <w:sz w:val="24"/>
      <w:szCs w:val="20"/>
    </w:rPr>
  </w:style>
  <w:style w:type="paragraph" w:customStyle="1" w:styleId="56">
    <w:name w:val="样式 样式 (符号) 宋体 小四 行距: 1.5 倍行距 + 首行缩进:  2 字符"/>
    <w:basedOn w:val="1"/>
    <w:uiPriority w:val="0"/>
    <w:pPr>
      <w:spacing w:line="360" w:lineRule="auto"/>
      <w:ind w:firstLine="456" w:firstLineChars="200"/>
    </w:pPr>
    <w:rPr>
      <w:rFonts w:hAnsi="宋体" w:cs="宋体"/>
      <w:sz w:val="24"/>
      <w:szCs w:val="20"/>
    </w:rPr>
  </w:style>
  <w:style w:type="paragraph" w:customStyle="1" w:styleId="57">
    <w:name w:val="默认段落字体 Para Char Char Char Char"/>
    <w:basedOn w:val="1"/>
    <w:qFormat/>
    <w:uiPriority w:val="0"/>
    <w:pPr>
      <w:spacing w:line="360" w:lineRule="auto"/>
      <w:ind w:firstLine="200" w:firstLineChars="200"/>
    </w:pPr>
    <w:rPr>
      <w:rFonts w:ascii="宋体" w:hAnsi="宋体" w:cs="宋体"/>
      <w:sz w:val="24"/>
    </w:rPr>
  </w:style>
  <w:style w:type="paragraph" w:customStyle="1" w:styleId="58">
    <w:name w:val="Char1"/>
    <w:basedOn w:val="1"/>
    <w:uiPriority w:val="0"/>
    <w:pPr>
      <w:keepNext/>
      <w:keepLines/>
      <w:tabs>
        <w:tab w:val="left"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59">
    <w:name w:val="WPS Plain"/>
    <w:qFormat/>
    <w:uiPriority w:val="0"/>
    <w:rPr>
      <w:rFonts w:ascii="Times New Roman" w:hAnsi="Times New Roman" w:eastAsia="宋体" w:cs="Times New Roman"/>
      <w:lang w:val="en-US" w:eastAsia="zh-CN" w:bidi="ar-SA"/>
    </w:rPr>
  </w:style>
  <w:style w:type="paragraph" w:customStyle="1" w:styleId="60">
    <w:name w:val="表文"/>
    <w:basedOn w:val="1"/>
    <w:qFormat/>
    <w:uiPriority w:val="0"/>
    <w:pPr>
      <w:tabs>
        <w:tab w:val="left" w:pos="1021"/>
      </w:tabs>
      <w:jc w:val="center"/>
    </w:pPr>
    <w:rPr>
      <w:kern w:val="0"/>
      <w:position w:val="-24"/>
      <w:sz w:val="24"/>
      <w:szCs w:val="20"/>
    </w:rPr>
  </w:style>
  <w:style w:type="paragraph" w:customStyle="1" w:styleId="61">
    <w:name w:val="正文01"/>
    <w:basedOn w:val="1"/>
    <w:uiPriority w:val="0"/>
    <w:pPr>
      <w:adjustRightInd w:val="0"/>
      <w:spacing w:line="520" w:lineRule="exact"/>
      <w:ind w:firstLine="480" w:firstLineChars="200"/>
      <w:textAlignment w:val="baseline"/>
    </w:pPr>
    <w:rPr>
      <w:rFonts w:ascii="宋体" w:hAnsi="宋体"/>
      <w:kern w:val="0"/>
      <w:sz w:val="24"/>
      <w:szCs w:val="28"/>
    </w:rPr>
  </w:style>
  <w:style w:type="paragraph" w:customStyle="1" w:styleId="62">
    <w:name w:val="1表格"/>
    <w:basedOn w:val="1"/>
    <w:uiPriority w:val="0"/>
    <w:pPr>
      <w:snapToGrid w:val="0"/>
      <w:spacing w:line="160" w:lineRule="atLeast"/>
      <w:jc w:val="center"/>
    </w:pPr>
    <w:rPr>
      <w:rFonts w:eastAsia="仿宋_GB2312"/>
      <w:szCs w:val="20"/>
    </w:rPr>
  </w:style>
  <w:style w:type="paragraph" w:customStyle="1" w:styleId="63">
    <w:name w:val="表1表2"/>
    <w:basedOn w:val="1"/>
    <w:uiPriority w:val="0"/>
    <w:pPr>
      <w:autoSpaceDE w:val="0"/>
      <w:autoSpaceDN w:val="0"/>
      <w:adjustRightInd w:val="0"/>
      <w:spacing w:line="360" w:lineRule="auto"/>
      <w:jc w:val="center"/>
      <w:textAlignment w:val="center"/>
    </w:pPr>
    <w:rPr>
      <w:rFonts w:eastAsia="仿宋_GB2312"/>
      <w:kern w:val="0"/>
      <w:sz w:val="24"/>
      <w:szCs w:val="21"/>
    </w:rPr>
  </w:style>
  <w:style w:type="paragraph" w:customStyle="1" w:styleId="64">
    <w:name w:val="表第一列"/>
    <w:basedOn w:val="7"/>
    <w:uiPriority w:val="0"/>
    <w:pPr>
      <w:keepNext/>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rPr>
  </w:style>
  <w:style w:type="paragraph" w:customStyle="1" w:styleId="65">
    <w:name w:val="默认段落字体 Para Char Char Char Char Char Char Char"/>
    <w:basedOn w:val="11"/>
    <w:uiPriority w:val="0"/>
    <w:pPr>
      <w:adjustRightInd w:val="0"/>
      <w:spacing w:line="436" w:lineRule="exact"/>
      <w:ind w:left="357"/>
      <w:jc w:val="left"/>
      <w:outlineLvl w:val="3"/>
    </w:pPr>
    <w:rPr>
      <w:rFonts w:ascii="Tahoma" w:hAnsi="Tahoma"/>
      <w:b/>
      <w:sz w:val="24"/>
    </w:rPr>
  </w:style>
  <w:style w:type="paragraph" w:customStyle="1" w:styleId="66">
    <w:name w:val="小四表文左齐"/>
    <w:basedOn w:val="1"/>
    <w:uiPriority w:val="0"/>
    <w:pPr>
      <w:jc w:val="center"/>
    </w:pPr>
    <w:rPr>
      <w:rFonts w:ascii="宋体" w:hAnsi="宋体"/>
    </w:rPr>
  </w:style>
  <w:style w:type="paragraph" w:customStyle="1" w:styleId="67">
    <w:name w:val="Char Char Char Char Char Char Char"/>
    <w:basedOn w:val="1"/>
    <w:next w:val="2"/>
    <w:uiPriority w:val="0"/>
    <w:pPr>
      <w:widowControl/>
      <w:spacing w:line="360" w:lineRule="auto"/>
      <w:ind w:hanging="340"/>
      <w:jc w:val="left"/>
    </w:pPr>
    <w:rPr>
      <w:rFonts w:eastAsia="楷体_GB2312"/>
      <w:sz w:val="24"/>
      <w:szCs w:val="28"/>
    </w:rPr>
  </w:style>
  <w:style w:type="paragraph" w:customStyle="1" w:styleId="68">
    <w:name w:val="Char"/>
    <w:basedOn w:val="1"/>
    <w:uiPriority w:val="0"/>
  </w:style>
  <w:style w:type="paragraph" w:customStyle="1" w:styleId="69">
    <w:name w:val="Char Char Char Char"/>
    <w:basedOn w:val="1"/>
    <w:uiPriority w:val="0"/>
    <w:pPr>
      <w:spacing w:line="360" w:lineRule="auto"/>
      <w:ind w:firstLine="200" w:firstLineChars="200"/>
    </w:pPr>
    <w:rPr>
      <w:rFonts w:ascii="宋体" w:hAnsi="宋体" w:cs="宋体"/>
      <w:sz w:val="24"/>
    </w:rPr>
  </w:style>
  <w:style w:type="paragraph" w:customStyle="1" w:styleId="70">
    <w:name w:val="1文章"/>
    <w:basedOn w:val="1"/>
    <w:uiPriority w:val="0"/>
    <w:pPr>
      <w:snapToGrid w:val="0"/>
      <w:spacing w:line="360" w:lineRule="auto"/>
      <w:ind w:firstLine="573"/>
    </w:pPr>
    <w:rPr>
      <w:rFonts w:eastAsia="仿宋_GB2312"/>
      <w:sz w:val="28"/>
      <w:szCs w:val="20"/>
    </w:rPr>
  </w:style>
  <w:style w:type="paragraph" w:customStyle="1" w:styleId="71">
    <w:name w:val="xl26"/>
    <w:basedOn w:val="1"/>
    <w:uiPriority w:val="0"/>
    <w:pPr>
      <w:widowControl/>
      <w:spacing w:before="100" w:after="100"/>
      <w:jc w:val="center"/>
    </w:pPr>
    <w:rPr>
      <w:rFonts w:ascii="宋体"/>
      <w:color w:val="000000"/>
      <w:kern w:val="0"/>
      <w:sz w:val="24"/>
      <w:szCs w:val="20"/>
    </w:rPr>
  </w:style>
  <w:style w:type="paragraph" w:customStyle="1" w:styleId="72">
    <w:name w:val="样式 样式 样式 小四 左 首行缩进:  2 字符 + 首行缩进:  2 字符 Char + 右  0 字符1"/>
    <w:basedOn w:val="1"/>
    <w:link w:val="75"/>
    <w:qFormat/>
    <w:uiPriority w:val="0"/>
    <w:pPr>
      <w:adjustRightInd w:val="0"/>
      <w:spacing w:line="360" w:lineRule="auto"/>
      <w:ind w:firstLine="200" w:firstLineChars="200"/>
      <w:jc w:val="left"/>
      <w:textAlignment w:val="baseline"/>
    </w:pPr>
    <w:rPr>
      <w:sz w:val="24"/>
      <w:szCs w:val="20"/>
    </w:rPr>
  </w:style>
  <w:style w:type="paragraph" w:customStyle="1" w:styleId="73">
    <w:name w:val="样式 小四 左 首行缩进:  2 字符"/>
    <w:basedOn w:val="1"/>
    <w:link w:val="76"/>
    <w:qFormat/>
    <w:uiPriority w:val="0"/>
    <w:pPr>
      <w:adjustRightInd w:val="0"/>
      <w:spacing w:line="360" w:lineRule="auto"/>
      <w:ind w:right="-56" w:rightChars="-20" w:firstLine="480" w:firstLineChars="200"/>
      <w:jc w:val="left"/>
      <w:textAlignment w:val="baseline"/>
    </w:pPr>
    <w:rPr>
      <w:sz w:val="28"/>
      <w:szCs w:val="20"/>
    </w:rPr>
  </w:style>
  <w:style w:type="paragraph" w:customStyle="1" w:styleId="74">
    <w:name w:val="样式 段前: 5 磅 段后: 5 磅"/>
    <w:basedOn w:val="1"/>
    <w:uiPriority w:val="0"/>
    <w:pPr>
      <w:adjustRightInd w:val="0"/>
      <w:spacing w:before="100" w:after="100" w:line="360" w:lineRule="auto"/>
      <w:ind w:left="1050" w:leftChars="500" w:right="1554" w:rightChars="1554"/>
      <w:textAlignment w:val="baseline"/>
    </w:pPr>
    <w:rPr>
      <w:sz w:val="28"/>
      <w:szCs w:val="20"/>
    </w:rPr>
  </w:style>
  <w:style w:type="character" w:customStyle="1" w:styleId="75">
    <w:name w:val="样式 样式 样式 小四 左 首行缩进:  2 字符 + 首行缩进:  2 字符 Char + 右  0 字符1 Char"/>
    <w:link w:val="72"/>
    <w:qFormat/>
    <w:uiPriority w:val="0"/>
    <w:rPr>
      <w:rFonts w:cs="宋体"/>
      <w:kern w:val="2"/>
      <w:sz w:val="24"/>
    </w:rPr>
  </w:style>
  <w:style w:type="character" w:customStyle="1" w:styleId="76">
    <w:name w:val="样式 小四 左 首行缩进:  2 字符 Char"/>
    <w:link w:val="73"/>
    <w:qFormat/>
    <w:uiPriority w:val="0"/>
    <w:rPr>
      <w:rFonts w:cs="宋体"/>
      <w:kern w:val="2"/>
      <w:sz w:val="28"/>
    </w:rPr>
  </w:style>
  <w:style w:type="character" w:customStyle="1" w:styleId="77">
    <w:name w:val="题注 Char"/>
    <w:link w:val="10"/>
    <w:qFormat/>
    <w:uiPriority w:val="0"/>
    <w:rPr>
      <w:rFonts w:ascii="Arial" w:hAnsi="Arial" w:eastAsia="黑体" w:cs="Arial"/>
      <w:kern w:val="2"/>
    </w:rPr>
  </w:style>
  <w:style w:type="paragraph" w:customStyle="1" w:styleId="78">
    <w:name w:val="Char Char Char Char Char Char"/>
    <w:basedOn w:val="1"/>
    <w:uiPriority w:val="0"/>
    <w:pPr>
      <w:autoSpaceDE w:val="0"/>
      <w:autoSpaceDN w:val="0"/>
    </w:pPr>
    <w:rPr>
      <w:rFonts w:ascii="宋体" w:hAnsi="宋体" w:eastAsia="仿宋_GB2312"/>
      <w:color w:val="000000"/>
      <w:sz w:val="28"/>
      <w:szCs w:val="20"/>
    </w:rPr>
  </w:style>
  <w:style w:type="paragraph" w:customStyle="1" w:styleId="79">
    <w:name w:val="Default"/>
    <w:uiPriority w:val="0"/>
    <w:pPr>
      <w:widowControl w:val="0"/>
      <w:autoSpaceDE w:val="0"/>
      <w:autoSpaceDN w:val="0"/>
      <w:adjustRightInd w:val="0"/>
    </w:pPr>
    <w:rPr>
      <w:rFonts w:ascii="宋体D'茋..." w:hAnsi="Times New Roman" w:eastAsia="宋体D'茋..." w:cs="宋体D'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customXml" Target="../customXml/item1.xml"/><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header" Target="header2.xml"/><Relationship Id="rId59" Type="http://schemas.openxmlformats.org/officeDocument/2006/relationships/image" Target="media/image33.emf"/><Relationship Id="rId58" Type="http://schemas.openxmlformats.org/officeDocument/2006/relationships/oleObject" Target="embeddings/oleObject12.bin"/><Relationship Id="rId57" Type="http://schemas.openxmlformats.org/officeDocument/2006/relationships/image" Target="media/image32.jpeg"/><Relationship Id="rId56" Type="http://schemas.openxmlformats.org/officeDocument/2006/relationships/image" Target="media/image31.png"/><Relationship Id="rId55" Type="http://schemas.openxmlformats.org/officeDocument/2006/relationships/image" Target="media/image30.wmf"/><Relationship Id="rId54" Type="http://schemas.openxmlformats.org/officeDocument/2006/relationships/oleObject" Target="embeddings/oleObject11.bin"/><Relationship Id="rId53" Type="http://schemas.openxmlformats.org/officeDocument/2006/relationships/image" Target="media/image29.wmf"/><Relationship Id="rId52" Type="http://schemas.openxmlformats.org/officeDocument/2006/relationships/oleObject" Target="embeddings/oleObject10.bin"/><Relationship Id="rId51" Type="http://schemas.openxmlformats.org/officeDocument/2006/relationships/image" Target="media/image28.wmf"/><Relationship Id="rId50" Type="http://schemas.openxmlformats.org/officeDocument/2006/relationships/oleObject" Target="embeddings/oleObject9.bin"/><Relationship Id="rId5" Type="http://schemas.openxmlformats.org/officeDocument/2006/relationships/header" Target="header1.xml"/><Relationship Id="rId49" Type="http://schemas.openxmlformats.org/officeDocument/2006/relationships/image" Target="media/image27.wmf"/><Relationship Id="rId48" Type="http://schemas.openxmlformats.org/officeDocument/2006/relationships/image" Target="media/image26.wmf"/><Relationship Id="rId47" Type="http://schemas.openxmlformats.org/officeDocument/2006/relationships/oleObject" Target="embeddings/oleObject8.bin"/><Relationship Id="rId46" Type="http://schemas.openxmlformats.org/officeDocument/2006/relationships/image" Target="media/image25.emf"/><Relationship Id="rId45" Type="http://schemas.openxmlformats.org/officeDocument/2006/relationships/oleObject" Target="embeddings/oleObject7.bin"/><Relationship Id="rId44" Type="http://schemas.openxmlformats.org/officeDocument/2006/relationships/image" Target="media/image24.emf"/><Relationship Id="rId43" Type="http://schemas.openxmlformats.org/officeDocument/2006/relationships/oleObject" Target="embeddings/oleObject6.bin"/><Relationship Id="rId42" Type="http://schemas.openxmlformats.org/officeDocument/2006/relationships/image" Target="media/image23.emf"/><Relationship Id="rId41" Type="http://schemas.openxmlformats.org/officeDocument/2006/relationships/oleObject" Target="embeddings/oleObject5.bin"/><Relationship Id="rId40" Type="http://schemas.openxmlformats.org/officeDocument/2006/relationships/image" Target="media/image22.emf"/><Relationship Id="rId4" Type="http://schemas.openxmlformats.org/officeDocument/2006/relationships/footer" Target="footer2.xml"/><Relationship Id="rId39" Type="http://schemas.openxmlformats.org/officeDocument/2006/relationships/oleObject" Target="embeddings/oleObject4.bin"/><Relationship Id="rId38" Type="http://schemas.openxmlformats.org/officeDocument/2006/relationships/image" Target="media/image21.emf"/><Relationship Id="rId37" Type="http://schemas.openxmlformats.org/officeDocument/2006/relationships/oleObject" Target="embeddings/oleObject3.bin"/><Relationship Id="rId36" Type="http://schemas.openxmlformats.org/officeDocument/2006/relationships/image" Target="media/image20.emf"/><Relationship Id="rId35" Type="http://schemas.openxmlformats.org/officeDocument/2006/relationships/oleObject" Target="embeddings/oleObject2.bin"/><Relationship Id="rId34" Type="http://schemas.openxmlformats.org/officeDocument/2006/relationships/image" Target="media/image19.emf"/><Relationship Id="rId33" Type="http://schemas.openxmlformats.org/officeDocument/2006/relationships/oleObject" Target="embeddings/oleObject1.bin"/><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3633"/>
    <customShpInfo spid="_x0000_s1524"/>
    <customShpInfo spid="_x0000_s3745"/>
    <customShpInfo spid="_x0000_s3744"/>
    <customShpInfo spid="_x0000_s3747"/>
    <customShpInfo spid="_x0000_s3746"/>
    <customShpInfo spid="_x0000_s3511"/>
    <customShpInfo spid="_x0000_s3506"/>
    <customShpInfo spid="_x0000_s3703"/>
    <customShpInfo spid="_x0000_s3705"/>
    <customShpInfo spid="_x0000_s3683"/>
    <customShpInfo spid="_x0000_s3682"/>
    <customShpInfo spid="_x0000_s3681"/>
    <customShpInfo spid="_x0000_s3677"/>
    <customShpInfo spid="_x0000_s3696"/>
    <customShpInfo spid="_x0000_s3699"/>
    <customShpInfo spid="_x0000_s3697"/>
    <customShpInfo spid="_x0000_s3691"/>
    <customShpInfo spid="_x0000_s3689"/>
    <customShpInfo spid="_x0000_s3663"/>
    <customShpInfo spid="_x0000_s3673"/>
    <customShpInfo spid="_x0000_s3680"/>
    <customShpInfo spid="_x0000_s3679"/>
    <customShpInfo spid="_x0000_s3678"/>
    <customShpInfo spid="_x0000_s3693"/>
    <customShpInfo spid="_x0000_s3692"/>
    <customShpInfo spid="_x0000_s3704"/>
    <customShpInfo spid="_x0000_s3698"/>
    <customShpInfo spid="_x0000_s3695"/>
    <customShpInfo spid="_x0000_s3694"/>
    <customShpInfo spid="_x0000_s3690"/>
    <customShpInfo spid="_x0000_s3687"/>
    <customShpInfo spid="_x0000_s3686"/>
    <customShpInfo spid="_x0000_s3684"/>
    <customShpInfo spid="_x0000_s3685"/>
    <customShpInfo spid="_x0000_s3741"/>
    <customShpInfo spid="_x0000_s3706"/>
    <customShpInfo spid="_x0000_s3643"/>
    <customShpInfo spid="_x0000_s3645"/>
    <customShpInfo spid="_x0000_s3644"/>
    <customShpInfo spid="_x0000_s3642"/>
    <customShpInfo spid="_x0000_s3640"/>
    <customShpInfo spid="_x0000_s3737"/>
    <customShpInfo spid="_x0000_s3736"/>
    <customShpInfo spid="_x0000_s3383"/>
    <customShpInfo spid="_x0000_s3385"/>
    <customShpInfo spid="_x0000_s3571"/>
    <customShpInfo spid="_x0000_s3654"/>
    <customShpInfo spid="_x0000_s3656"/>
    <customShpInfo spid="_x0000_s3655"/>
    <customShpInfo spid="_x0000_s3653"/>
    <customShpInfo spid="_x0000_s3382"/>
    <customShpInfo spid="_x0000_s3652"/>
    <customShpInfo spid="_x0000_s3651"/>
    <customShpInfo spid="_x0000_s3650"/>
    <customShpInfo spid="_x0000_s3646"/>
    <customShpInfo spid="_x0000_s3649"/>
    <customShpInfo spid="_x0000_s3648"/>
    <customShpInfo spid="_x0000_s3647"/>
    <customShpInfo spid="_x0000_s3406"/>
    <customShpInfo spid="_x0000_s3491"/>
    <customShpInfo spid="_x0000_s3394"/>
    <customShpInfo spid="_x0000_s3392"/>
    <customShpInfo spid="_x0000_s3570"/>
    <customShpInfo spid="_x0000_s3395"/>
    <customShpInfo spid="_x0000_s3397"/>
    <customShpInfo spid="_x0000_s3384"/>
    <customShpInfo spid="_x0000_s3386"/>
    <customShpInfo spid="_x0000_s3396"/>
    <customShpInfo spid="_x0000_s3739"/>
    <customShpInfo spid="_x0000_s3740"/>
    <customShpInfo spid="_x0000_s3404"/>
    <customShpInfo spid="_x0000_s3179"/>
    <customShpInfo spid="_x0000_s3662"/>
    <customShpInfo spid="_x0000_s3661"/>
    <customShpInfo spid="_x0000_s3660"/>
    <customShpInfo spid="_x0000_s3403"/>
    <customShpInfo spid="_x0000_s3659"/>
    <customShpInfo spid="_x0000_s3174"/>
    <customShpInfo spid="_x0000_s3762"/>
    <customShpInfo spid="_x0000_s376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22B2FA-E8D7-4C94-8DE6-840BBBB35C55}">
  <ds:schemaRefs/>
</ds:datastoreItem>
</file>

<file path=docProps/app.xml><?xml version="1.0" encoding="utf-8"?>
<Properties xmlns="http://schemas.openxmlformats.org/officeDocument/2006/extended-properties" xmlns:vt="http://schemas.openxmlformats.org/officeDocument/2006/docPropsVTypes">
  <Template>Normal</Template>
  <Company>hbs</Company>
  <Pages>80</Pages>
  <Words>7655</Words>
  <Characters>43635</Characters>
  <Lines>363</Lines>
  <Paragraphs>102</Paragraphs>
  <TotalTime>0</TotalTime>
  <ScaleCrop>false</ScaleCrop>
  <LinksUpToDate>false</LinksUpToDate>
  <CharactersWithSpaces>51188</CharactersWithSpaces>
  <Application>WPS Office_10.1.0.6489_F1E327BC-269C-435d-A152-05C5408002CA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2016-04-12T02:19:00Z</dcterms:created>
  <dc:creator>zsy</dc:creator>
  <cp:lastModifiedBy>Administrator</cp:lastModifiedBy>
  <cp:lastPrinted>2016-04-12T10:04:00Z</cp:lastPrinted>
  <dcterms:modified xsi:type="dcterms:W3CDTF">2017-08-01T08:21:23Z</dcterms:modified>
  <dc:title>建设项目环境影响报告表</dc:title>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2052-10.1.0.6489</vt:lpwstr>
  </property>
</Properties>
</file>